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07B4" w:rsidRPr="002B720B" w:rsidRDefault="00C93429" w:rsidP="009C07B4">
      <w:pPr>
        <w:spacing w:after="120"/>
        <w:ind w:left="2552" w:hanging="2552"/>
        <w:rPr>
          <w:b/>
          <w:i/>
          <w:szCs w:val="22"/>
        </w:rPr>
      </w:pPr>
      <w:r w:rsidRPr="002B720B">
        <w:rPr>
          <w:b/>
          <w:noProof/>
          <w:szCs w:val="22"/>
        </w:rPr>
        <w:t>TZ-Maßnahme:</w:t>
      </w:r>
      <w:r w:rsidRPr="002B720B">
        <w:rPr>
          <w:b/>
          <w:szCs w:val="22"/>
        </w:rPr>
        <w:tab/>
        <w:t xml:space="preserve">Beschäftigungsförderung durch Erneuerbare Energie und Energieeffizienz in </w:t>
      </w:r>
      <w:bookmarkStart w:id="0" w:name="Text41"/>
      <w:r w:rsidRPr="002B720B">
        <w:rPr>
          <w:b/>
          <w:szCs w:val="22"/>
        </w:rPr>
        <w:t xml:space="preserve">der MENA Region </w:t>
      </w:r>
      <w:bookmarkEnd w:id="0"/>
      <w:r w:rsidRPr="002B720B">
        <w:rPr>
          <w:b/>
          <w:szCs w:val="22"/>
        </w:rPr>
        <w:t>(RE-ACTIVATE)</w:t>
      </w:r>
    </w:p>
    <w:p w:rsidR="009C07B4" w:rsidRPr="002B720B" w:rsidRDefault="00C93429" w:rsidP="009C07B4">
      <w:pPr>
        <w:spacing w:after="120"/>
        <w:ind w:left="2552" w:hanging="2552"/>
        <w:rPr>
          <w:b/>
          <w:szCs w:val="22"/>
        </w:rPr>
      </w:pPr>
      <w:r w:rsidRPr="002B720B">
        <w:rPr>
          <w:b/>
          <w:noProof/>
          <w:szCs w:val="22"/>
        </w:rPr>
        <w:t>Projektnummer</w:t>
      </w:r>
      <w:r w:rsidRPr="002B720B">
        <w:rPr>
          <w:b/>
          <w:szCs w:val="22"/>
        </w:rPr>
        <w:t>:</w:t>
      </w:r>
      <w:r w:rsidRPr="002B720B">
        <w:rPr>
          <w:b/>
          <w:szCs w:val="22"/>
        </w:rPr>
        <w:tab/>
        <w:t>2013.2020.9</w:t>
      </w:r>
    </w:p>
    <w:p w:rsidR="009C07B4" w:rsidRPr="002B720B" w:rsidRDefault="00C93429" w:rsidP="009C07B4">
      <w:pPr>
        <w:spacing w:before="240" w:after="120"/>
        <w:ind w:left="2552" w:hanging="2552"/>
      </w:pPr>
      <w:r w:rsidRPr="002B720B">
        <w:t>Nummer des Berichts:</w:t>
      </w:r>
      <w:r w:rsidRPr="002B720B">
        <w:tab/>
        <w:t>2</w:t>
      </w:r>
    </w:p>
    <w:p w:rsidR="009C07B4" w:rsidRPr="002B720B" w:rsidRDefault="00C93429" w:rsidP="009C07B4">
      <w:pPr>
        <w:spacing w:after="120"/>
        <w:ind w:left="2552" w:hanging="2552"/>
      </w:pPr>
      <w:r w:rsidRPr="002B720B">
        <w:t>Berichtszeitraum:</w:t>
      </w:r>
      <w:r w:rsidRPr="002B720B">
        <w:tab/>
        <w:t>01.06.2015 – 01.06.2016</w:t>
      </w:r>
      <w:r>
        <w:t xml:space="preserve"> </w:t>
      </w:r>
    </w:p>
    <w:p w:rsidR="009C07B4" w:rsidRPr="002B720B" w:rsidRDefault="00C93429" w:rsidP="009C07B4">
      <w:pPr>
        <w:ind w:left="4253" w:hanging="4253"/>
      </w:pPr>
      <w:r w:rsidRPr="002B720B">
        <w:t>Name des Auftragsverantwortlichen:</w:t>
      </w:r>
      <w:r w:rsidRPr="002B720B">
        <w:tab/>
        <w:t>Steffen Erdle</w:t>
      </w:r>
    </w:p>
    <w:p w:rsidR="009C07B4" w:rsidRPr="002B720B" w:rsidRDefault="00C93429" w:rsidP="009C07B4">
      <w:pPr>
        <w:pStyle w:val="Inhalt"/>
      </w:pPr>
      <w:r w:rsidRPr="002B720B">
        <w:t>Inhalt</w:t>
      </w:r>
    </w:p>
    <w:p w:rsidR="00051A30" w:rsidRDefault="00C93429">
      <w:pPr>
        <w:pStyle w:val="Verzeichnis1"/>
        <w:rPr>
          <w:rFonts w:asciiTheme="minorHAnsi" w:eastAsiaTheme="minorEastAsia" w:hAnsiTheme="minorHAnsi" w:cstheme="minorBidi"/>
          <w:b w:val="0"/>
          <w:szCs w:val="22"/>
          <w:lang w:val="fr-FR" w:eastAsia="fr-FR"/>
        </w:rPr>
      </w:pPr>
      <w:r w:rsidRPr="002B720B">
        <w:fldChar w:fldCharType="begin"/>
      </w:r>
      <w:r w:rsidRPr="002B720B">
        <w:instrText xml:space="preserve"> TOC \o "1-3" \h \z \u </w:instrText>
      </w:r>
      <w:r w:rsidRPr="002B720B">
        <w:fldChar w:fldCharType="separate"/>
      </w:r>
      <w:hyperlink w:anchor="_Toc460339700" w:history="1">
        <w:r w:rsidR="00051A30" w:rsidRPr="007B61E6">
          <w:rPr>
            <w:rStyle w:val="Hyperlink"/>
          </w:rPr>
          <w:t>A.1.</w:t>
        </w:r>
        <w:r w:rsidR="00051A30">
          <w:rPr>
            <w:rFonts w:asciiTheme="minorHAnsi" w:eastAsiaTheme="minorEastAsia" w:hAnsiTheme="minorHAnsi" w:cstheme="minorBidi"/>
            <w:b w:val="0"/>
            <w:szCs w:val="22"/>
            <w:lang w:val="fr-FR" w:eastAsia="fr-FR"/>
          </w:rPr>
          <w:tab/>
        </w:r>
        <w:r w:rsidR="00051A30" w:rsidRPr="007B61E6">
          <w:rPr>
            <w:rStyle w:val="Hyperlink"/>
          </w:rPr>
          <w:t>Kurzbeschreibung</w:t>
        </w:r>
        <w:r w:rsidR="00051A30">
          <w:rPr>
            <w:webHidden/>
          </w:rPr>
          <w:tab/>
        </w:r>
        <w:r w:rsidR="00051A30">
          <w:rPr>
            <w:webHidden/>
          </w:rPr>
          <w:fldChar w:fldCharType="begin"/>
        </w:r>
        <w:r w:rsidR="00051A30">
          <w:rPr>
            <w:webHidden/>
          </w:rPr>
          <w:instrText xml:space="preserve"> PAGEREF _Toc460339700 \h </w:instrText>
        </w:r>
        <w:r w:rsidR="00051A30">
          <w:rPr>
            <w:webHidden/>
          </w:rPr>
        </w:r>
        <w:r w:rsidR="00051A30">
          <w:rPr>
            <w:webHidden/>
          </w:rPr>
          <w:fldChar w:fldCharType="separate"/>
        </w:r>
        <w:r w:rsidR="00576878">
          <w:rPr>
            <w:webHidden/>
          </w:rPr>
          <w:t>4</w:t>
        </w:r>
        <w:r w:rsidR="00051A30">
          <w:rPr>
            <w:webHidden/>
          </w:rPr>
          <w:fldChar w:fldCharType="end"/>
        </w:r>
      </w:hyperlink>
    </w:p>
    <w:p w:rsidR="00051A30" w:rsidRDefault="00E42650">
      <w:pPr>
        <w:pStyle w:val="Verzeichnis1"/>
        <w:rPr>
          <w:rFonts w:asciiTheme="minorHAnsi" w:eastAsiaTheme="minorEastAsia" w:hAnsiTheme="minorHAnsi" w:cstheme="minorBidi"/>
          <w:b w:val="0"/>
          <w:szCs w:val="22"/>
          <w:lang w:val="fr-FR" w:eastAsia="fr-FR"/>
        </w:rPr>
      </w:pPr>
      <w:hyperlink w:anchor="_Toc460339701" w:history="1">
        <w:r w:rsidR="00051A30" w:rsidRPr="007B61E6">
          <w:rPr>
            <w:rStyle w:val="Hyperlink"/>
          </w:rPr>
          <w:t>A.2.</w:t>
        </w:r>
        <w:r w:rsidR="00051A30">
          <w:rPr>
            <w:rFonts w:asciiTheme="minorHAnsi" w:eastAsiaTheme="minorEastAsia" w:hAnsiTheme="minorHAnsi" w:cstheme="minorBidi"/>
            <w:b w:val="0"/>
            <w:szCs w:val="22"/>
            <w:lang w:val="fr-FR" w:eastAsia="fr-FR"/>
          </w:rPr>
          <w:tab/>
        </w:r>
        <w:r w:rsidR="00051A30" w:rsidRPr="007B61E6">
          <w:rPr>
            <w:rStyle w:val="Hyperlink"/>
          </w:rPr>
          <w:t>Entwicklungen im Schwerpunkt</w:t>
        </w:r>
        <w:r w:rsidR="00051A30">
          <w:rPr>
            <w:webHidden/>
          </w:rPr>
          <w:tab/>
        </w:r>
        <w:r w:rsidR="00051A30">
          <w:rPr>
            <w:webHidden/>
          </w:rPr>
          <w:fldChar w:fldCharType="begin"/>
        </w:r>
        <w:r w:rsidR="00051A30">
          <w:rPr>
            <w:webHidden/>
          </w:rPr>
          <w:instrText xml:space="preserve"> PAGEREF _Toc460339701 \h </w:instrText>
        </w:r>
        <w:r w:rsidR="00051A30">
          <w:rPr>
            <w:webHidden/>
          </w:rPr>
        </w:r>
        <w:r w:rsidR="00051A30">
          <w:rPr>
            <w:webHidden/>
          </w:rPr>
          <w:fldChar w:fldCharType="separate"/>
        </w:r>
        <w:r w:rsidR="00576878">
          <w:rPr>
            <w:webHidden/>
          </w:rPr>
          <w:t>5</w:t>
        </w:r>
        <w:r w:rsidR="00051A30">
          <w:rPr>
            <w:webHidden/>
          </w:rPr>
          <w:fldChar w:fldCharType="end"/>
        </w:r>
      </w:hyperlink>
    </w:p>
    <w:p w:rsidR="00051A30" w:rsidRDefault="00E42650">
      <w:pPr>
        <w:pStyle w:val="Verzeichnis2"/>
        <w:rPr>
          <w:rFonts w:asciiTheme="minorHAnsi" w:eastAsiaTheme="minorEastAsia" w:hAnsiTheme="minorHAnsi" w:cstheme="minorBidi"/>
          <w:szCs w:val="22"/>
          <w:lang w:val="fr-FR" w:eastAsia="fr-FR"/>
        </w:rPr>
      </w:pPr>
      <w:hyperlink w:anchor="_Toc460339702" w:history="1">
        <w:r w:rsidR="00051A30" w:rsidRPr="007B61E6">
          <w:rPr>
            <w:rStyle w:val="Hyperlink"/>
            <w:b/>
            <w:i/>
          </w:rPr>
          <w:t>A.2.1</w:t>
        </w:r>
        <w:r w:rsidR="00051A30">
          <w:rPr>
            <w:rFonts w:asciiTheme="minorHAnsi" w:eastAsiaTheme="minorEastAsia" w:hAnsiTheme="minorHAnsi" w:cstheme="minorBidi"/>
            <w:szCs w:val="22"/>
            <w:lang w:val="fr-FR" w:eastAsia="fr-FR"/>
          </w:rPr>
          <w:tab/>
        </w:r>
        <w:r w:rsidR="00051A30" w:rsidRPr="007B61E6">
          <w:rPr>
            <w:rStyle w:val="Hyperlink"/>
            <w:b/>
            <w:i/>
          </w:rPr>
          <w:t>Entwicklung</w:t>
        </w:r>
        <w:r>
          <w:rPr>
            <w:rStyle w:val="Hyperlink"/>
            <w:b/>
            <w:i/>
          </w:rPr>
          <w:t>en bei Zielen und Strategien der</w:t>
        </w:r>
        <w:r w:rsidR="00051A30" w:rsidRPr="007B61E6">
          <w:rPr>
            <w:rStyle w:val="Hyperlink"/>
            <w:b/>
            <w:i/>
          </w:rPr>
          <w:t xml:space="preserve"> </w:t>
        </w:r>
        <w:r>
          <w:rPr>
            <w:rStyle w:val="Hyperlink"/>
            <w:b/>
            <w:i/>
          </w:rPr>
          <w:t>Kooperationsländer</w:t>
        </w:r>
        <w:r w:rsidR="00051A30">
          <w:rPr>
            <w:webHidden/>
          </w:rPr>
          <w:tab/>
        </w:r>
        <w:r w:rsidR="00051A30">
          <w:rPr>
            <w:webHidden/>
          </w:rPr>
          <w:fldChar w:fldCharType="begin"/>
        </w:r>
        <w:r w:rsidR="00051A30">
          <w:rPr>
            <w:webHidden/>
          </w:rPr>
          <w:instrText xml:space="preserve"> PAGEREF _Toc460339702 \h </w:instrText>
        </w:r>
        <w:r w:rsidR="00051A30">
          <w:rPr>
            <w:webHidden/>
          </w:rPr>
        </w:r>
        <w:r w:rsidR="00051A30">
          <w:rPr>
            <w:webHidden/>
          </w:rPr>
          <w:fldChar w:fldCharType="separate"/>
        </w:r>
        <w:r w:rsidR="00576878">
          <w:rPr>
            <w:webHidden/>
          </w:rPr>
          <w:t>5</w:t>
        </w:r>
        <w:r w:rsidR="00051A30">
          <w:rPr>
            <w:webHidden/>
          </w:rPr>
          <w:fldChar w:fldCharType="end"/>
        </w:r>
      </w:hyperlink>
    </w:p>
    <w:p w:rsidR="00051A30" w:rsidRDefault="00E42650">
      <w:pPr>
        <w:pStyle w:val="Verzeichnis2"/>
        <w:rPr>
          <w:rFonts w:asciiTheme="minorHAnsi" w:eastAsiaTheme="minorEastAsia" w:hAnsiTheme="minorHAnsi" w:cstheme="minorBidi"/>
          <w:szCs w:val="22"/>
          <w:lang w:val="fr-FR" w:eastAsia="fr-FR"/>
        </w:rPr>
      </w:pPr>
      <w:hyperlink w:anchor="_Toc460339703" w:history="1">
        <w:r w:rsidR="00051A30" w:rsidRPr="007B61E6">
          <w:rPr>
            <w:rStyle w:val="Hyperlink"/>
            <w:b/>
            <w:i/>
          </w:rPr>
          <w:t>A.2.2</w:t>
        </w:r>
        <w:r w:rsidR="00051A30">
          <w:rPr>
            <w:rFonts w:asciiTheme="minorHAnsi" w:eastAsiaTheme="minorEastAsia" w:hAnsiTheme="minorHAnsi" w:cstheme="minorBidi"/>
            <w:szCs w:val="22"/>
            <w:lang w:val="fr-FR" w:eastAsia="fr-FR"/>
          </w:rPr>
          <w:tab/>
        </w:r>
        <w:r w:rsidR="00051A30" w:rsidRPr="007B61E6">
          <w:rPr>
            <w:rStyle w:val="Hyperlink"/>
            <w:b/>
            <w:i/>
          </w:rPr>
          <w:t>Entwicklungen bei wichtigen Akteuren, Entscheidungsträgern und Trägerinstitutionen de</w:t>
        </w:r>
        <w:r>
          <w:rPr>
            <w:rStyle w:val="Hyperlink"/>
            <w:b/>
            <w:i/>
          </w:rPr>
          <w:t>r Kooperationsländer</w:t>
        </w:r>
        <w:r w:rsidR="00051A30">
          <w:rPr>
            <w:webHidden/>
          </w:rPr>
          <w:tab/>
        </w:r>
        <w:r w:rsidR="00051A30">
          <w:rPr>
            <w:webHidden/>
          </w:rPr>
          <w:fldChar w:fldCharType="begin"/>
        </w:r>
        <w:r w:rsidR="00051A30">
          <w:rPr>
            <w:webHidden/>
          </w:rPr>
          <w:instrText xml:space="preserve"> PAGEREF _Toc460339703 \h </w:instrText>
        </w:r>
        <w:r w:rsidR="00051A30">
          <w:rPr>
            <w:webHidden/>
          </w:rPr>
        </w:r>
        <w:r w:rsidR="00051A30">
          <w:rPr>
            <w:webHidden/>
          </w:rPr>
          <w:fldChar w:fldCharType="separate"/>
        </w:r>
        <w:r w:rsidR="00576878">
          <w:rPr>
            <w:webHidden/>
          </w:rPr>
          <w:t>6</w:t>
        </w:r>
        <w:r w:rsidR="00051A30">
          <w:rPr>
            <w:webHidden/>
          </w:rPr>
          <w:fldChar w:fldCharType="end"/>
        </w:r>
      </w:hyperlink>
    </w:p>
    <w:p w:rsidR="00051A30" w:rsidRDefault="00E42650">
      <w:pPr>
        <w:pStyle w:val="Verzeichnis2"/>
        <w:rPr>
          <w:rFonts w:asciiTheme="minorHAnsi" w:eastAsiaTheme="minorEastAsia" w:hAnsiTheme="minorHAnsi" w:cstheme="minorBidi"/>
          <w:szCs w:val="22"/>
          <w:lang w:val="fr-FR" w:eastAsia="fr-FR"/>
        </w:rPr>
      </w:pPr>
      <w:hyperlink w:anchor="_Toc460339704" w:history="1">
        <w:r w:rsidR="00051A30" w:rsidRPr="007B61E6">
          <w:rPr>
            <w:rStyle w:val="Hyperlink"/>
            <w:b/>
            <w:i/>
          </w:rPr>
          <w:t>A.2.3</w:t>
        </w:r>
        <w:r w:rsidR="00051A30">
          <w:rPr>
            <w:rFonts w:asciiTheme="minorHAnsi" w:eastAsiaTheme="minorEastAsia" w:hAnsiTheme="minorHAnsi" w:cstheme="minorBidi"/>
            <w:szCs w:val="22"/>
            <w:lang w:val="fr-FR" w:eastAsia="fr-FR"/>
          </w:rPr>
          <w:tab/>
        </w:r>
        <w:r w:rsidR="00051A30" w:rsidRPr="007B61E6">
          <w:rPr>
            <w:rStyle w:val="Hyperlink"/>
            <w:b/>
            <w:i/>
          </w:rPr>
          <w:t>Entwicklungen im Engagement anderer Geber und in der Abstimmung der Geberbeiträge</w:t>
        </w:r>
        <w:r w:rsidR="00051A30">
          <w:rPr>
            <w:webHidden/>
          </w:rPr>
          <w:tab/>
        </w:r>
        <w:r w:rsidR="00051A30">
          <w:rPr>
            <w:webHidden/>
          </w:rPr>
          <w:fldChar w:fldCharType="begin"/>
        </w:r>
        <w:r w:rsidR="00051A30">
          <w:rPr>
            <w:webHidden/>
          </w:rPr>
          <w:instrText xml:space="preserve"> PAGEREF _Toc460339704 \h </w:instrText>
        </w:r>
        <w:r w:rsidR="00051A30">
          <w:rPr>
            <w:webHidden/>
          </w:rPr>
        </w:r>
        <w:r w:rsidR="00051A30">
          <w:rPr>
            <w:webHidden/>
          </w:rPr>
          <w:fldChar w:fldCharType="separate"/>
        </w:r>
        <w:r w:rsidR="00576878">
          <w:rPr>
            <w:webHidden/>
          </w:rPr>
          <w:t>7</w:t>
        </w:r>
        <w:r w:rsidR="00051A30">
          <w:rPr>
            <w:webHidden/>
          </w:rPr>
          <w:fldChar w:fldCharType="end"/>
        </w:r>
      </w:hyperlink>
    </w:p>
    <w:p w:rsidR="00051A30" w:rsidRDefault="00E42650">
      <w:pPr>
        <w:pStyle w:val="Verzeichnis1"/>
        <w:rPr>
          <w:rFonts w:asciiTheme="minorHAnsi" w:eastAsiaTheme="minorEastAsia" w:hAnsiTheme="minorHAnsi" w:cstheme="minorBidi"/>
          <w:b w:val="0"/>
          <w:szCs w:val="22"/>
          <w:lang w:val="fr-FR" w:eastAsia="fr-FR"/>
        </w:rPr>
      </w:pPr>
      <w:hyperlink w:anchor="_Toc460339705" w:history="1">
        <w:r w:rsidR="00051A30" w:rsidRPr="007B61E6">
          <w:rPr>
            <w:rStyle w:val="Hyperlink"/>
          </w:rPr>
          <w:t>A.3.</w:t>
        </w:r>
        <w:r w:rsidR="00051A30">
          <w:rPr>
            <w:rFonts w:asciiTheme="minorHAnsi" w:eastAsiaTheme="minorEastAsia" w:hAnsiTheme="minorHAnsi" w:cstheme="minorBidi"/>
            <w:b w:val="0"/>
            <w:szCs w:val="22"/>
            <w:lang w:val="fr-FR" w:eastAsia="fr-FR"/>
          </w:rPr>
          <w:tab/>
        </w:r>
        <w:r w:rsidR="00051A30" w:rsidRPr="007B61E6">
          <w:rPr>
            <w:rStyle w:val="Hyperlink"/>
          </w:rPr>
          <w:t>Entwicklungen im Ansatz des deutschen EZ-Engagements</w:t>
        </w:r>
        <w:r w:rsidR="00051A30">
          <w:rPr>
            <w:webHidden/>
          </w:rPr>
          <w:tab/>
        </w:r>
        <w:r w:rsidR="00051A30">
          <w:rPr>
            <w:webHidden/>
          </w:rPr>
          <w:fldChar w:fldCharType="begin"/>
        </w:r>
        <w:r w:rsidR="00051A30">
          <w:rPr>
            <w:webHidden/>
          </w:rPr>
          <w:instrText xml:space="preserve"> PAGEREF _Toc460339705 \h </w:instrText>
        </w:r>
        <w:r w:rsidR="00051A30">
          <w:rPr>
            <w:webHidden/>
          </w:rPr>
        </w:r>
        <w:r w:rsidR="00051A30">
          <w:rPr>
            <w:webHidden/>
          </w:rPr>
          <w:fldChar w:fldCharType="separate"/>
        </w:r>
        <w:r w:rsidR="00576878">
          <w:rPr>
            <w:webHidden/>
          </w:rPr>
          <w:t>7</w:t>
        </w:r>
        <w:r w:rsidR="00051A30">
          <w:rPr>
            <w:webHidden/>
          </w:rPr>
          <w:fldChar w:fldCharType="end"/>
        </w:r>
      </w:hyperlink>
    </w:p>
    <w:p w:rsidR="00051A30" w:rsidRDefault="00E42650">
      <w:pPr>
        <w:pStyle w:val="Verzeichnis1"/>
        <w:rPr>
          <w:rFonts w:asciiTheme="minorHAnsi" w:eastAsiaTheme="minorEastAsia" w:hAnsiTheme="minorHAnsi" w:cstheme="minorBidi"/>
          <w:b w:val="0"/>
          <w:szCs w:val="22"/>
          <w:lang w:val="fr-FR" w:eastAsia="fr-FR"/>
        </w:rPr>
      </w:pPr>
      <w:hyperlink w:anchor="_Toc460339706" w:history="1">
        <w:r w:rsidR="00051A30" w:rsidRPr="007B61E6">
          <w:rPr>
            <w:rStyle w:val="Hyperlink"/>
          </w:rPr>
          <w:t>A.4.</w:t>
        </w:r>
        <w:r w:rsidR="00051A30">
          <w:rPr>
            <w:rFonts w:asciiTheme="minorHAnsi" w:eastAsiaTheme="minorEastAsia" w:hAnsiTheme="minorHAnsi" w:cstheme="minorBidi"/>
            <w:b w:val="0"/>
            <w:szCs w:val="22"/>
            <w:lang w:val="fr-FR" w:eastAsia="fr-FR"/>
          </w:rPr>
          <w:tab/>
        </w:r>
        <w:r w:rsidR="00051A30" w:rsidRPr="007B61E6">
          <w:rPr>
            <w:rStyle w:val="Hyperlink"/>
          </w:rPr>
          <w:t>Vorschläge für vom BMZ zu ergreifende Maßnahmen</w:t>
        </w:r>
        <w:r w:rsidR="00051A30">
          <w:rPr>
            <w:webHidden/>
          </w:rPr>
          <w:tab/>
        </w:r>
        <w:r w:rsidR="00051A30">
          <w:rPr>
            <w:webHidden/>
          </w:rPr>
          <w:fldChar w:fldCharType="begin"/>
        </w:r>
        <w:r w:rsidR="00051A30">
          <w:rPr>
            <w:webHidden/>
          </w:rPr>
          <w:instrText xml:space="preserve"> PAGEREF _Toc460339706 \h </w:instrText>
        </w:r>
        <w:r w:rsidR="00051A30">
          <w:rPr>
            <w:webHidden/>
          </w:rPr>
        </w:r>
        <w:r w:rsidR="00051A30">
          <w:rPr>
            <w:webHidden/>
          </w:rPr>
          <w:fldChar w:fldCharType="separate"/>
        </w:r>
        <w:r w:rsidR="00576878">
          <w:rPr>
            <w:webHidden/>
          </w:rPr>
          <w:t>8</w:t>
        </w:r>
        <w:r w:rsidR="00051A30">
          <w:rPr>
            <w:webHidden/>
          </w:rPr>
          <w:fldChar w:fldCharType="end"/>
        </w:r>
      </w:hyperlink>
    </w:p>
    <w:p w:rsidR="00051A30" w:rsidRDefault="00E42650">
      <w:pPr>
        <w:pStyle w:val="Verzeichnis2"/>
        <w:rPr>
          <w:rFonts w:asciiTheme="minorHAnsi" w:eastAsiaTheme="minorEastAsia" w:hAnsiTheme="minorHAnsi" w:cstheme="minorBidi"/>
          <w:szCs w:val="22"/>
          <w:lang w:val="fr-FR" w:eastAsia="fr-FR"/>
        </w:rPr>
      </w:pPr>
      <w:hyperlink w:anchor="_Toc460339707" w:history="1">
        <w:r w:rsidR="00051A30" w:rsidRPr="007B61E6">
          <w:rPr>
            <w:rStyle w:val="Hyperlink"/>
            <w:b/>
            <w:i/>
          </w:rPr>
          <w:t>A.4.1</w:t>
        </w:r>
        <w:r w:rsidR="00051A30">
          <w:rPr>
            <w:rFonts w:asciiTheme="minorHAnsi" w:eastAsiaTheme="minorEastAsia" w:hAnsiTheme="minorHAnsi" w:cstheme="minorBidi"/>
            <w:szCs w:val="22"/>
            <w:lang w:val="fr-FR" w:eastAsia="fr-FR"/>
          </w:rPr>
          <w:tab/>
        </w:r>
        <w:r w:rsidR="00051A30" w:rsidRPr="007B61E6">
          <w:rPr>
            <w:rStyle w:val="Hyperlink"/>
            <w:b/>
            <w:i/>
          </w:rPr>
          <w:t>Maßnahmen im Rahmen des Politik- und Schwerpunktdialogs</w:t>
        </w:r>
        <w:r w:rsidR="00051A30">
          <w:rPr>
            <w:webHidden/>
          </w:rPr>
          <w:tab/>
        </w:r>
        <w:r w:rsidR="00051A30">
          <w:rPr>
            <w:webHidden/>
          </w:rPr>
          <w:fldChar w:fldCharType="begin"/>
        </w:r>
        <w:r w:rsidR="00051A30">
          <w:rPr>
            <w:webHidden/>
          </w:rPr>
          <w:instrText xml:space="preserve"> PAGEREF _Toc460339707 \h </w:instrText>
        </w:r>
        <w:r w:rsidR="00051A30">
          <w:rPr>
            <w:webHidden/>
          </w:rPr>
        </w:r>
        <w:r w:rsidR="00051A30">
          <w:rPr>
            <w:webHidden/>
          </w:rPr>
          <w:fldChar w:fldCharType="separate"/>
        </w:r>
        <w:r w:rsidR="00576878">
          <w:rPr>
            <w:webHidden/>
          </w:rPr>
          <w:t>8</w:t>
        </w:r>
        <w:r w:rsidR="00051A30">
          <w:rPr>
            <w:webHidden/>
          </w:rPr>
          <w:fldChar w:fldCharType="end"/>
        </w:r>
      </w:hyperlink>
    </w:p>
    <w:p w:rsidR="00051A30" w:rsidRDefault="00E42650">
      <w:pPr>
        <w:pStyle w:val="Verzeichnis2"/>
        <w:rPr>
          <w:rFonts w:asciiTheme="minorHAnsi" w:eastAsiaTheme="minorEastAsia" w:hAnsiTheme="minorHAnsi" w:cstheme="minorBidi"/>
          <w:szCs w:val="22"/>
          <w:lang w:val="fr-FR" w:eastAsia="fr-FR"/>
        </w:rPr>
      </w:pPr>
      <w:hyperlink w:anchor="_Toc460339708" w:history="1">
        <w:r w:rsidR="00051A30" w:rsidRPr="007B61E6">
          <w:rPr>
            <w:rStyle w:val="Hyperlink"/>
            <w:b/>
            <w:i/>
          </w:rPr>
          <w:t>A.4.2</w:t>
        </w:r>
        <w:r w:rsidR="00051A30">
          <w:rPr>
            <w:rFonts w:asciiTheme="minorHAnsi" w:eastAsiaTheme="minorEastAsia" w:hAnsiTheme="minorHAnsi" w:cstheme="minorBidi"/>
            <w:szCs w:val="22"/>
            <w:lang w:val="fr-FR" w:eastAsia="fr-FR"/>
          </w:rPr>
          <w:tab/>
        </w:r>
        <w:r w:rsidR="00051A30" w:rsidRPr="007B61E6">
          <w:rPr>
            <w:rStyle w:val="Hyperlink"/>
            <w:b/>
            <w:i/>
          </w:rPr>
          <w:t>Änderungen in der Aufstellung der deutschen EZ</w:t>
        </w:r>
        <w:r w:rsidR="00051A30">
          <w:rPr>
            <w:webHidden/>
          </w:rPr>
          <w:tab/>
        </w:r>
        <w:r w:rsidR="00051A30">
          <w:rPr>
            <w:webHidden/>
          </w:rPr>
          <w:fldChar w:fldCharType="begin"/>
        </w:r>
        <w:r w:rsidR="00051A30">
          <w:rPr>
            <w:webHidden/>
          </w:rPr>
          <w:instrText xml:space="preserve"> PAGEREF _Toc460339708 \h </w:instrText>
        </w:r>
        <w:r w:rsidR="00051A30">
          <w:rPr>
            <w:webHidden/>
          </w:rPr>
        </w:r>
        <w:r w:rsidR="00051A30">
          <w:rPr>
            <w:webHidden/>
          </w:rPr>
          <w:fldChar w:fldCharType="separate"/>
        </w:r>
        <w:r w:rsidR="00576878">
          <w:rPr>
            <w:webHidden/>
          </w:rPr>
          <w:t>8</w:t>
        </w:r>
        <w:r w:rsidR="00051A30">
          <w:rPr>
            <w:webHidden/>
          </w:rPr>
          <w:fldChar w:fldCharType="end"/>
        </w:r>
      </w:hyperlink>
    </w:p>
    <w:p w:rsidR="00051A30" w:rsidRDefault="00E42650">
      <w:pPr>
        <w:pStyle w:val="Verzeichnis1"/>
        <w:rPr>
          <w:rFonts w:asciiTheme="minorHAnsi" w:eastAsiaTheme="minorEastAsia" w:hAnsiTheme="minorHAnsi" w:cstheme="minorBidi"/>
          <w:b w:val="0"/>
          <w:szCs w:val="22"/>
          <w:lang w:val="fr-FR" w:eastAsia="fr-FR"/>
        </w:rPr>
      </w:pPr>
      <w:hyperlink w:anchor="_Toc460339709" w:history="1">
        <w:r w:rsidR="00051A30" w:rsidRPr="007B61E6">
          <w:rPr>
            <w:rStyle w:val="Hyperlink"/>
          </w:rPr>
          <w:t>B.1.</w:t>
        </w:r>
        <w:r w:rsidR="00051A30">
          <w:rPr>
            <w:rFonts w:asciiTheme="minorHAnsi" w:eastAsiaTheme="minorEastAsia" w:hAnsiTheme="minorHAnsi" w:cstheme="minorBidi"/>
            <w:b w:val="0"/>
            <w:szCs w:val="22"/>
            <w:lang w:val="fr-FR" w:eastAsia="fr-FR"/>
          </w:rPr>
          <w:tab/>
        </w:r>
        <w:r w:rsidR="00051A30" w:rsidRPr="007B61E6">
          <w:rPr>
            <w:rStyle w:val="Hyperlink"/>
          </w:rPr>
          <w:t>Kurzbeschreibung</w:t>
        </w:r>
        <w:r w:rsidR="00051A30">
          <w:rPr>
            <w:webHidden/>
          </w:rPr>
          <w:tab/>
        </w:r>
        <w:r w:rsidR="00051A30">
          <w:rPr>
            <w:webHidden/>
          </w:rPr>
          <w:fldChar w:fldCharType="begin"/>
        </w:r>
        <w:r w:rsidR="00051A30">
          <w:rPr>
            <w:webHidden/>
          </w:rPr>
          <w:instrText xml:space="preserve"> PAGEREF _Toc460339709 \h </w:instrText>
        </w:r>
        <w:r w:rsidR="00051A30">
          <w:rPr>
            <w:webHidden/>
          </w:rPr>
        </w:r>
        <w:r w:rsidR="00051A30">
          <w:rPr>
            <w:webHidden/>
          </w:rPr>
          <w:fldChar w:fldCharType="separate"/>
        </w:r>
        <w:r w:rsidR="00576878">
          <w:rPr>
            <w:webHidden/>
          </w:rPr>
          <w:t>9</w:t>
        </w:r>
        <w:r w:rsidR="00051A30">
          <w:rPr>
            <w:webHidden/>
          </w:rPr>
          <w:fldChar w:fldCharType="end"/>
        </w:r>
      </w:hyperlink>
    </w:p>
    <w:p w:rsidR="00051A30" w:rsidRDefault="00E42650">
      <w:pPr>
        <w:pStyle w:val="Verzeichnis1"/>
        <w:rPr>
          <w:rFonts w:asciiTheme="minorHAnsi" w:eastAsiaTheme="minorEastAsia" w:hAnsiTheme="minorHAnsi" w:cstheme="minorBidi"/>
          <w:b w:val="0"/>
          <w:szCs w:val="22"/>
          <w:lang w:val="fr-FR" w:eastAsia="fr-FR"/>
        </w:rPr>
      </w:pPr>
      <w:hyperlink w:anchor="_Toc460339710" w:history="1">
        <w:r w:rsidR="00051A30" w:rsidRPr="007B61E6">
          <w:rPr>
            <w:rStyle w:val="Hyperlink"/>
          </w:rPr>
          <w:t>B.2.</w:t>
        </w:r>
        <w:r w:rsidR="00051A30">
          <w:rPr>
            <w:rFonts w:asciiTheme="minorHAnsi" w:eastAsiaTheme="minorEastAsia" w:hAnsiTheme="minorHAnsi" w:cstheme="minorBidi"/>
            <w:b w:val="0"/>
            <w:szCs w:val="22"/>
            <w:lang w:val="fr-FR" w:eastAsia="fr-FR"/>
          </w:rPr>
          <w:tab/>
        </w:r>
        <w:r w:rsidR="00051A30" w:rsidRPr="007B61E6">
          <w:rPr>
            <w:rStyle w:val="Hyperlink"/>
          </w:rPr>
          <w:t>Konkrete Entwicklungen/Änderungen bei der TZ-Maßnahme</w:t>
        </w:r>
        <w:r w:rsidR="00051A30">
          <w:rPr>
            <w:webHidden/>
          </w:rPr>
          <w:tab/>
        </w:r>
        <w:r w:rsidR="00051A30">
          <w:rPr>
            <w:webHidden/>
          </w:rPr>
          <w:fldChar w:fldCharType="begin"/>
        </w:r>
        <w:r w:rsidR="00051A30">
          <w:rPr>
            <w:webHidden/>
          </w:rPr>
          <w:instrText xml:space="preserve"> PAGEREF _Toc460339710 \h </w:instrText>
        </w:r>
        <w:r w:rsidR="00051A30">
          <w:rPr>
            <w:webHidden/>
          </w:rPr>
        </w:r>
        <w:r w:rsidR="00051A30">
          <w:rPr>
            <w:webHidden/>
          </w:rPr>
          <w:fldChar w:fldCharType="separate"/>
        </w:r>
        <w:r w:rsidR="00576878">
          <w:rPr>
            <w:webHidden/>
          </w:rPr>
          <w:t>9</w:t>
        </w:r>
        <w:r w:rsidR="00051A30">
          <w:rPr>
            <w:webHidden/>
          </w:rPr>
          <w:fldChar w:fldCharType="end"/>
        </w:r>
      </w:hyperlink>
    </w:p>
    <w:p w:rsidR="00051A30" w:rsidRDefault="00E42650">
      <w:pPr>
        <w:pStyle w:val="Verzeichnis2"/>
        <w:rPr>
          <w:rFonts w:asciiTheme="minorHAnsi" w:eastAsiaTheme="minorEastAsia" w:hAnsiTheme="minorHAnsi" w:cstheme="minorBidi"/>
          <w:szCs w:val="22"/>
          <w:lang w:val="fr-FR" w:eastAsia="fr-FR"/>
        </w:rPr>
      </w:pPr>
      <w:hyperlink w:anchor="_Toc460339711" w:history="1">
        <w:r w:rsidR="00051A30" w:rsidRPr="007B61E6">
          <w:rPr>
            <w:rStyle w:val="Hyperlink"/>
            <w:b/>
            <w:i/>
          </w:rPr>
          <w:t>B.2.1</w:t>
        </w:r>
        <w:r w:rsidR="00051A30">
          <w:rPr>
            <w:rFonts w:asciiTheme="minorHAnsi" w:eastAsiaTheme="minorEastAsia" w:hAnsiTheme="minorHAnsi" w:cstheme="minorBidi"/>
            <w:szCs w:val="22"/>
            <w:lang w:val="fr-FR" w:eastAsia="fr-FR"/>
          </w:rPr>
          <w:tab/>
        </w:r>
        <w:r w:rsidR="00051A30" w:rsidRPr="007B61E6">
          <w:rPr>
            <w:rStyle w:val="Hyperlink"/>
            <w:b/>
            <w:i/>
          </w:rPr>
          <w:t>Gestaltung der TZ-Maßnahme, Gesamtkosten, Finanzierung, Zeitplan</w:t>
        </w:r>
        <w:r w:rsidR="00051A30">
          <w:rPr>
            <w:webHidden/>
          </w:rPr>
          <w:tab/>
        </w:r>
        <w:r w:rsidR="00051A30">
          <w:rPr>
            <w:webHidden/>
          </w:rPr>
          <w:fldChar w:fldCharType="begin"/>
        </w:r>
        <w:r w:rsidR="00051A30">
          <w:rPr>
            <w:webHidden/>
          </w:rPr>
          <w:instrText xml:space="preserve"> PAGEREF _Toc460339711 \h </w:instrText>
        </w:r>
        <w:r w:rsidR="00051A30">
          <w:rPr>
            <w:webHidden/>
          </w:rPr>
        </w:r>
        <w:r w:rsidR="00051A30">
          <w:rPr>
            <w:webHidden/>
          </w:rPr>
          <w:fldChar w:fldCharType="separate"/>
        </w:r>
        <w:r w:rsidR="00576878">
          <w:rPr>
            <w:webHidden/>
          </w:rPr>
          <w:t>9</w:t>
        </w:r>
        <w:r w:rsidR="00051A30">
          <w:rPr>
            <w:webHidden/>
          </w:rPr>
          <w:fldChar w:fldCharType="end"/>
        </w:r>
      </w:hyperlink>
    </w:p>
    <w:p w:rsidR="00051A30" w:rsidRDefault="00E42650">
      <w:pPr>
        <w:pStyle w:val="Verzeichnis2"/>
        <w:rPr>
          <w:rFonts w:asciiTheme="minorHAnsi" w:eastAsiaTheme="minorEastAsia" w:hAnsiTheme="minorHAnsi" w:cstheme="minorBidi"/>
          <w:szCs w:val="22"/>
          <w:lang w:val="fr-FR" w:eastAsia="fr-FR"/>
        </w:rPr>
      </w:pPr>
      <w:hyperlink w:anchor="_Toc460339712" w:history="1">
        <w:r w:rsidR="00051A30" w:rsidRPr="007B61E6">
          <w:rPr>
            <w:rStyle w:val="Hyperlink"/>
            <w:b/>
            <w:i/>
          </w:rPr>
          <w:t>B.2.3</w:t>
        </w:r>
        <w:r w:rsidR="00051A30">
          <w:rPr>
            <w:rFonts w:asciiTheme="minorHAnsi" w:eastAsiaTheme="minorEastAsia" w:hAnsiTheme="minorHAnsi" w:cstheme="minorBidi"/>
            <w:szCs w:val="22"/>
            <w:lang w:val="fr-FR" w:eastAsia="fr-FR"/>
          </w:rPr>
          <w:tab/>
        </w:r>
        <w:r w:rsidR="00051A30" w:rsidRPr="007B61E6">
          <w:rPr>
            <w:rStyle w:val="Hyperlink"/>
            <w:b/>
            <w:i/>
          </w:rPr>
          <w:t>Zielerreichung</w:t>
        </w:r>
        <w:r w:rsidR="00051A30">
          <w:rPr>
            <w:webHidden/>
          </w:rPr>
          <w:tab/>
        </w:r>
        <w:r w:rsidR="00051A30">
          <w:rPr>
            <w:webHidden/>
          </w:rPr>
          <w:fldChar w:fldCharType="begin"/>
        </w:r>
        <w:r w:rsidR="00051A30">
          <w:rPr>
            <w:webHidden/>
          </w:rPr>
          <w:instrText xml:space="preserve"> PAGEREF _Toc460339712 \h </w:instrText>
        </w:r>
        <w:r w:rsidR="00051A30">
          <w:rPr>
            <w:webHidden/>
          </w:rPr>
        </w:r>
        <w:r w:rsidR="00051A30">
          <w:rPr>
            <w:webHidden/>
          </w:rPr>
          <w:fldChar w:fldCharType="separate"/>
        </w:r>
        <w:r w:rsidR="00576878">
          <w:rPr>
            <w:webHidden/>
          </w:rPr>
          <w:t>10</w:t>
        </w:r>
        <w:r w:rsidR="00051A30">
          <w:rPr>
            <w:webHidden/>
          </w:rPr>
          <w:fldChar w:fldCharType="end"/>
        </w:r>
      </w:hyperlink>
    </w:p>
    <w:p w:rsidR="00051A30" w:rsidRDefault="00E42650">
      <w:pPr>
        <w:pStyle w:val="Verzeichnis2"/>
        <w:rPr>
          <w:rFonts w:asciiTheme="minorHAnsi" w:eastAsiaTheme="minorEastAsia" w:hAnsiTheme="minorHAnsi" w:cstheme="minorBidi"/>
          <w:szCs w:val="22"/>
          <w:lang w:val="fr-FR" w:eastAsia="fr-FR"/>
        </w:rPr>
      </w:pPr>
      <w:hyperlink w:anchor="_Toc460339713" w:history="1">
        <w:r w:rsidR="00051A30" w:rsidRPr="007B61E6">
          <w:rPr>
            <w:rStyle w:val="Hyperlink"/>
            <w:b/>
            <w:i/>
          </w:rPr>
          <w:t>B.2.4</w:t>
        </w:r>
        <w:r w:rsidR="00051A30">
          <w:rPr>
            <w:rFonts w:asciiTheme="minorHAnsi" w:eastAsiaTheme="minorEastAsia" w:hAnsiTheme="minorHAnsi" w:cstheme="minorBidi"/>
            <w:szCs w:val="22"/>
            <w:lang w:val="fr-FR" w:eastAsia="fr-FR"/>
          </w:rPr>
          <w:tab/>
        </w:r>
        <w:r w:rsidR="00051A30" w:rsidRPr="007B61E6">
          <w:rPr>
            <w:rStyle w:val="Hyperlink"/>
            <w:b/>
            <w:i/>
          </w:rPr>
          <w:t>Wirkungen</w:t>
        </w:r>
        <w:r w:rsidR="00051A30">
          <w:rPr>
            <w:webHidden/>
          </w:rPr>
          <w:tab/>
        </w:r>
        <w:r w:rsidR="00051A30">
          <w:rPr>
            <w:webHidden/>
          </w:rPr>
          <w:fldChar w:fldCharType="begin"/>
        </w:r>
        <w:r w:rsidR="00051A30">
          <w:rPr>
            <w:webHidden/>
          </w:rPr>
          <w:instrText xml:space="preserve"> PAGEREF _Toc460339713 \h </w:instrText>
        </w:r>
        <w:r w:rsidR="00051A30">
          <w:rPr>
            <w:webHidden/>
          </w:rPr>
        </w:r>
        <w:r w:rsidR="00051A30">
          <w:rPr>
            <w:webHidden/>
          </w:rPr>
          <w:fldChar w:fldCharType="separate"/>
        </w:r>
        <w:r w:rsidR="00576878">
          <w:rPr>
            <w:webHidden/>
          </w:rPr>
          <w:t>19</w:t>
        </w:r>
        <w:r w:rsidR="00051A30">
          <w:rPr>
            <w:webHidden/>
          </w:rPr>
          <w:fldChar w:fldCharType="end"/>
        </w:r>
      </w:hyperlink>
    </w:p>
    <w:p w:rsidR="00051A30" w:rsidRDefault="00E42650">
      <w:pPr>
        <w:pStyle w:val="Verzeichnis1"/>
        <w:rPr>
          <w:rFonts w:asciiTheme="minorHAnsi" w:eastAsiaTheme="minorEastAsia" w:hAnsiTheme="minorHAnsi" w:cstheme="minorBidi"/>
          <w:b w:val="0"/>
          <w:szCs w:val="22"/>
          <w:lang w:val="fr-FR" w:eastAsia="fr-FR"/>
        </w:rPr>
      </w:pPr>
      <w:hyperlink w:anchor="_Toc460339714" w:history="1">
        <w:r w:rsidR="00051A30" w:rsidRPr="007B61E6">
          <w:rPr>
            <w:rStyle w:val="Hyperlink"/>
          </w:rPr>
          <w:t>B.3.</w:t>
        </w:r>
        <w:r w:rsidR="00051A30">
          <w:rPr>
            <w:rFonts w:asciiTheme="minorHAnsi" w:eastAsiaTheme="minorEastAsia" w:hAnsiTheme="minorHAnsi" w:cstheme="minorBidi"/>
            <w:b w:val="0"/>
            <w:szCs w:val="22"/>
            <w:lang w:val="fr-FR" w:eastAsia="fr-FR"/>
          </w:rPr>
          <w:tab/>
        </w:r>
        <w:r w:rsidR="00051A30" w:rsidRPr="007B61E6">
          <w:rPr>
            <w:rStyle w:val="Hyperlink"/>
          </w:rPr>
          <w:t>Handlungsbedarf</w:t>
        </w:r>
        <w:r w:rsidR="00051A30">
          <w:rPr>
            <w:webHidden/>
          </w:rPr>
          <w:tab/>
        </w:r>
        <w:r w:rsidR="00051A30">
          <w:rPr>
            <w:webHidden/>
          </w:rPr>
          <w:fldChar w:fldCharType="begin"/>
        </w:r>
        <w:r w:rsidR="00051A30">
          <w:rPr>
            <w:webHidden/>
          </w:rPr>
          <w:instrText xml:space="preserve"> PAGEREF _Toc460339714 \h </w:instrText>
        </w:r>
        <w:r w:rsidR="00051A30">
          <w:rPr>
            <w:webHidden/>
          </w:rPr>
        </w:r>
        <w:r w:rsidR="00051A30">
          <w:rPr>
            <w:webHidden/>
          </w:rPr>
          <w:fldChar w:fldCharType="separate"/>
        </w:r>
        <w:r w:rsidR="00576878">
          <w:rPr>
            <w:webHidden/>
          </w:rPr>
          <w:t>23</w:t>
        </w:r>
        <w:r w:rsidR="00051A30">
          <w:rPr>
            <w:webHidden/>
          </w:rPr>
          <w:fldChar w:fldCharType="end"/>
        </w:r>
      </w:hyperlink>
    </w:p>
    <w:p w:rsidR="009C07B4" w:rsidRPr="002B720B" w:rsidRDefault="00C93429" w:rsidP="009C07B4">
      <w:pPr>
        <w:spacing w:before="480" w:after="120"/>
        <w:rPr>
          <w:b/>
        </w:rPr>
      </w:pPr>
      <w:r w:rsidRPr="002B720B">
        <w:fldChar w:fldCharType="end"/>
      </w:r>
      <w:r w:rsidRPr="002B720B">
        <w:rPr>
          <w:b/>
        </w:rPr>
        <w:t>Anlage</w:t>
      </w:r>
    </w:p>
    <w:p w:rsidR="009C07B4" w:rsidRPr="002B720B" w:rsidRDefault="00C93429" w:rsidP="009C07B4">
      <w:r w:rsidRPr="002B720B">
        <w:t>Aktuelle Wirkungsmatrix</w:t>
      </w:r>
    </w:p>
    <w:p w:rsidR="009C07B4" w:rsidRPr="002B720B" w:rsidRDefault="00C93429" w:rsidP="009C07B4">
      <w:pPr>
        <w:spacing w:after="120"/>
        <w:rPr>
          <w:b/>
        </w:rPr>
      </w:pPr>
      <w:r w:rsidRPr="002B720B">
        <w:br w:type="page"/>
      </w:r>
      <w:r w:rsidRPr="002B720B">
        <w:rPr>
          <w:b/>
        </w:rPr>
        <w:t>Abkürzungsverzeichnis</w:t>
      </w:r>
      <w:r>
        <w:rPr>
          <w:b/>
        </w:rPr>
        <w:t xml:space="preserve"> </w:t>
      </w:r>
    </w:p>
    <w:tbl>
      <w:tblPr>
        <w:tblW w:w="0" w:type="auto"/>
        <w:tblLook w:val="00A0" w:firstRow="1" w:lastRow="0" w:firstColumn="1" w:lastColumn="0" w:noHBand="0" w:noVBand="0"/>
      </w:tblPr>
      <w:tblGrid>
        <w:gridCol w:w="1951"/>
        <w:gridCol w:w="7259"/>
      </w:tblGrid>
      <w:tr w:rsidR="009C07B4" w:rsidRPr="00361A5B" w:rsidTr="001F0C3C">
        <w:tc>
          <w:tcPr>
            <w:tcW w:w="1951" w:type="dxa"/>
          </w:tcPr>
          <w:p w:rsidR="009C07B4" w:rsidRPr="002B720B" w:rsidRDefault="00C93429" w:rsidP="009C07B4">
            <w:r w:rsidRPr="002B720B">
              <w:t>ADEREE</w:t>
            </w:r>
          </w:p>
        </w:tc>
        <w:tc>
          <w:tcPr>
            <w:tcW w:w="7259" w:type="dxa"/>
          </w:tcPr>
          <w:p w:rsidR="008630B9" w:rsidRPr="00DD3EE4" w:rsidRDefault="00480904" w:rsidP="008630B9">
            <w:pPr>
              <w:rPr>
                <w:i/>
                <w:iCs/>
                <w:lang w:val="fr-FR"/>
              </w:rPr>
            </w:pPr>
            <w:r w:rsidRPr="00480904">
              <w:rPr>
                <w:i/>
                <w:iCs/>
                <w:lang w:val="fr-FR"/>
              </w:rPr>
              <w:t>Agence n</w:t>
            </w:r>
            <w:r w:rsidR="008630B9" w:rsidRPr="00DD3EE4">
              <w:rPr>
                <w:i/>
                <w:iCs/>
                <w:lang w:val="fr-FR"/>
              </w:rPr>
              <w:t>ationale pour le Développement des Energies</w:t>
            </w:r>
          </w:p>
          <w:p w:rsidR="009C07B4" w:rsidRPr="00F639AE" w:rsidRDefault="008630B9" w:rsidP="008630B9">
            <w:r w:rsidRPr="00DD3EE4">
              <w:rPr>
                <w:i/>
                <w:iCs/>
                <w:lang w:val="fr-FR"/>
              </w:rPr>
              <w:t>r</w:t>
            </w:r>
            <w:r w:rsidRPr="00DD3EE4">
              <w:rPr>
                <w:i/>
                <w:iCs/>
              </w:rPr>
              <w:t xml:space="preserve">enouvelables et de l’Efficacité énergétique </w:t>
            </w:r>
            <w:r>
              <w:rPr>
                <w:iCs/>
              </w:rPr>
              <w:t>(</w:t>
            </w:r>
            <w:r w:rsidR="00C93429" w:rsidRPr="00F639AE">
              <w:rPr>
                <w:iCs/>
              </w:rPr>
              <w:t xml:space="preserve">Marokkanische </w:t>
            </w:r>
            <w:r w:rsidR="00C93429" w:rsidRPr="00F639AE">
              <w:t>Agentur für Erneuerbare Energ</w:t>
            </w:r>
            <w:r w:rsidR="00C93429">
              <w:t>ien</w:t>
            </w:r>
            <w:r w:rsidR="00C93429" w:rsidRPr="00F639AE">
              <w:t xml:space="preserve"> </w:t>
            </w:r>
            <w:r w:rsidR="00C93429">
              <w:t>u</w:t>
            </w:r>
            <w:r w:rsidR="00C93429" w:rsidRPr="00F639AE">
              <w:t>nd Energ</w:t>
            </w:r>
            <w:r w:rsidR="00C93429">
              <w:t>iee</w:t>
            </w:r>
            <w:r w:rsidR="00C93429" w:rsidRPr="00F639AE">
              <w:t>ffi</w:t>
            </w:r>
            <w:r w:rsidR="00C93429">
              <w:t>z</w:t>
            </w:r>
            <w:r w:rsidR="00C93429" w:rsidRPr="00F639AE">
              <w:t>ien</w:t>
            </w:r>
            <w:r w:rsidR="00C93429">
              <w:t>z</w:t>
            </w:r>
            <w:r>
              <w:t>)</w:t>
            </w:r>
          </w:p>
        </w:tc>
      </w:tr>
      <w:tr w:rsidR="009C07B4" w:rsidRPr="002B720B" w:rsidTr="001F0C3C">
        <w:tc>
          <w:tcPr>
            <w:tcW w:w="1951" w:type="dxa"/>
          </w:tcPr>
          <w:p w:rsidR="009C07B4" w:rsidRPr="002B720B" w:rsidRDefault="00C93429" w:rsidP="009C07B4">
            <w:r w:rsidRPr="002B720B">
              <w:t>AFEX</w:t>
            </w:r>
          </w:p>
        </w:tc>
        <w:tc>
          <w:tcPr>
            <w:tcW w:w="7259" w:type="dxa"/>
          </w:tcPr>
          <w:p w:rsidR="009C07B4" w:rsidRPr="002B720B" w:rsidRDefault="008630B9" w:rsidP="008630B9">
            <w:pPr>
              <w:rPr>
                <w:iCs/>
              </w:rPr>
            </w:pPr>
            <w:r w:rsidRPr="00DD3EE4">
              <w:rPr>
                <w:rFonts w:eastAsia="Cambria" w:cs="Arial"/>
                <w:bCs/>
                <w:i/>
                <w:szCs w:val="22"/>
                <w:lang w:eastAsia="fr-FR"/>
              </w:rPr>
              <w:t xml:space="preserve">Arab Future Energy Index </w:t>
            </w:r>
            <w:r>
              <w:rPr>
                <w:rFonts w:eastAsia="Cambria" w:cs="Arial"/>
                <w:bCs/>
                <w:szCs w:val="22"/>
                <w:lang w:eastAsia="fr-FR"/>
              </w:rPr>
              <w:t>(</w:t>
            </w:r>
            <w:r w:rsidR="00C93429" w:rsidRPr="002B720B">
              <w:rPr>
                <w:rFonts w:eastAsia="Cambria" w:cs="Arial"/>
                <w:bCs/>
                <w:szCs w:val="22"/>
                <w:lang w:eastAsia="fr-FR"/>
              </w:rPr>
              <w:t>Arab</w:t>
            </w:r>
            <w:r w:rsidR="00C93429">
              <w:rPr>
                <w:rFonts w:eastAsia="Cambria" w:cs="Arial"/>
                <w:bCs/>
                <w:szCs w:val="22"/>
                <w:lang w:eastAsia="fr-FR"/>
              </w:rPr>
              <w:t>ischer</w:t>
            </w:r>
            <w:r w:rsidR="00C93429" w:rsidRPr="002B720B">
              <w:rPr>
                <w:rFonts w:eastAsia="Cambria" w:cs="Arial"/>
                <w:bCs/>
                <w:szCs w:val="22"/>
                <w:lang w:eastAsia="fr-FR"/>
              </w:rPr>
              <w:t xml:space="preserve"> Energ</w:t>
            </w:r>
            <w:r w:rsidR="00C93429">
              <w:rPr>
                <w:rFonts w:eastAsia="Cambria" w:cs="Arial"/>
                <w:bCs/>
                <w:szCs w:val="22"/>
                <w:lang w:eastAsia="fr-FR"/>
              </w:rPr>
              <w:t>iezukunftsi</w:t>
            </w:r>
            <w:r w:rsidR="00C93429" w:rsidRPr="002B720B">
              <w:rPr>
                <w:rFonts w:eastAsia="Cambria" w:cs="Arial"/>
                <w:bCs/>
                <w:szCs w:val="22"/>
                <w:lang w:eastAsia="fr-FR"/>
              </w:rPr>
              <w:t>ndex</w:t>
            </w:r>
            <w:r>
              <w:rPr>
                <w:rFonts w:eastAsia="Cambria" w:cs="Arial"/>
                <w:bCs/>
                <w:szCs w:val="22"/>
                <w:lang w:eastAsia="fr-FR"/>
              </w:rPr>
              <w:t>)</w:t>
            </w:r>
          </w:p>
        </w:tc>
      </w:tr>
      <w:tr w:rsidR="009C07B4" w:rsidRPr="002B720B" w:rsidTr="001F0C3C">
        <w:tc>
          <w:tcPr>
            <w:tcW w:w="1951" w:type="dxa"/>
          </w:tcPr>
          <w:p w:rsidR="009C07B4" w:rsidRPr="002B720B" w:rsidRDefault="00C93429" w:rsidP="009C07B4">
            <w:r w:rsidRPr="002B720B">
              <w:t>AMA</w:t>
            </w:r>
          </w:p>
        </w:tc>
        <w:tc>
          <w:tcPr>
            <w:tcW w:w="7259" w:type="dxa"/>
          </w:tcPr>
          <w:p w:rsidR="009C07B4" w:rsidRPr="002B720B" w:rsidRDefault="00C93429" w:rsidP="009C07B4">
            <w:pPr>
              <w:rPr>
                <w:iCs/>
              </w:rPr>
            </w:pPr>
            <w:r w:rsidRPr="002B720B">
              <w:rPr>
                <w:iCs/>
              </w:rPr>
              <w:t>Auslandsmitarbeiter</w:t>
            </w:r>
          </w:p>
        </w:tc>
      </w:tr>
      <w:tr w:rsidR="009C07B4" w:rsidRPr="00F639AE" w:rsidTr="001F0C3C">
        <w:tc>
          <w:tcPr>
            <w:tcW w:w="1951" w:type="dxa"/>
          </w:tcPr>
          <w:p w:rsidR="009C07B4" w:rsidRPr="002B720B" w:rsidRDefault="00C93429" w:rsidP="009C07B4">
            <w:r w:rsidRPr="002B720B">
              <w:t>ANME</w:t>
            </w:r>
          </w:p>
        </w:tc>
        <w:tc>
          <w:tcPr>
            <w:tcW w:w="7259" w:type="dxa"/>
          </w:tcPr>
          <w:p w:rsidR="009C07B4" w:rsidRPr="00361A5B" w:rsidRDefault="008630B9" w:rsidP="009C07B4">
            <w:pPr>
              <w:rPr>
                <w:lang w:val="en-US"/>
              </w:rPr>
            </w:pPr>
            <w:r w:rsidRPr="00DD3EE4">
              <w:rPr>
                <w:i/>
                <w:lang w:val="en-US"/>
              </w:rPr>
              <w:t>Agence nationale pour la Maîtrise de l'Energie</w:t>
            </w:r>
            <w:r>
              <w:rPr>
                <w:lang w:val="en-US"/>
              </w:rPr>
              <w:t xml:space="preserve"> (</w:t>
            </w:r>
            <w:r w:rsidR="00C93429" w:rsidRPr="00361A5B">
              <w:rPr>
                <w:lang w:val="en-US"/>
              </w:rPr>
              <w:t>Tun</w:t>
            </w:r>
            <w:r w:rsidR="00C93429">
              <w:rPr>
                <w:lang w:val="en-US"/>
              </w:rPr>
              <w:t xml:space="preserve">esische </w:t>
            </w:r>
            <w:r w:rsidR="00C93429" w:rsidRPr="00361A5B">
              <w:rPr>
                <w:lang w:val="en-US"/>
              </w:rPr>
              <w:t>Agen</w:t>
            </w:r>
            <w:r w:rsidR="00C93429">
              <w:rPr>
                <w:lang w:val="en-US"/>
              </w:rPr>
              <w:t>tur</w:t>
            </w:r>
            <w:r w:rsidR="00C93429" w:rsidRPr="00361A5B">
              <w:rPr>
                <w:lang w:val="en-US"/>
              </w:rPr>
              <w:t xml:space="preserve"> f</w:t>
            </w:r>
            <w:r w:rsidR="00C93429">
              <w:rPr>
                <w:lang w:val="en-US"/>
              </w:rPr>
              <w:t>ü</w:t>
            </w:r>
            <w:r w:rsidR="00C93429" w:rsidRPr="00361A5B">
              <w:rPr>
                <w:lang w:val="en-US"/>
              </w:rPr>
              <w:t>r Energ</w:t>
            </w:r>
            <w:r w:rsidR="00C93429">
              <w:rPr>
                <w:lang w:val="en-US"/>
              </w:rPr>
              <w:t>ieeinsparung</w:t>
            </w:r>
            <w:r>
              <w:rPr>
                <w:lang w:val="en-US"/>
              </w:rPr>
              <w:t>)</w:t>
            </w:r>
          </w:p>
        </w:tc>
      </w:tr>
      <w:tr w:rsidR="009C07B4" w:rsidRPr="00F639AE" w:rsidTr="001F0C3C">
        <w:tc>
          <w:tcPr>
            <w:tcW w:w="1951" w:type="dxa"/>
          </w:tcPr>
          <w:p w:rsidR="009C07B4" w:rsidRPr="002B720B" w:rsidRDefault="00C93429" w:rsidP="009C07B4">
            <w:r w:rsidRPr="002B720B">
              <w:t>APIA</w:t>
            </w:r>
          </w:p>
        </w:tc>
        <w:tc>
          <w:tcPr>
            <w:tcW w:w="7259" w:type="dxa"/>
          </w:tcPr>
          <w:p w:rsidR="001F0C3C" w:rsidRPr="00DD3EE4" w:rsidRDefault="001F0C3C" w:rsidP="009C07B4">
            <w:pPr>
              <w:rPr>
                <w:i/>
                <w:lang w:val="fr-FR"/>
              </w:rPr>
            </w:pPr>
            <w:r w:rsidRPr="00DD3EE4">
              <w:rPr>
                <w:i/>
                <w:lang w:val="fr-FR"/>
              </w:rPr>
              <w:t xml:space="preserve">Agence de Promotion des Investissements </w:t>
            </w:r>
            <w:r w:rsidR="008630B9">
              <w:rPr>
                <w:i/>
                <w:lang w:val="fr-FR"/>
              </w:rPr>
              <w:t>a</w:t>
            </w:r>
            <w:r w:rsidRPr="00DD3EE4">
              <w:rPr>
                <w:i/>
                <w:lang w:val="fr-FR"/>
              </w:rPr>
              <w:t>gricoles</w:t>
            </w:r>
            <w:r w:rsidR="008630B9">
              <w:rPr>
                <w:i/>
                <w:lang w:val="fr-FR"/>
              </w:rPr>
              <w:t xml:space="preserve"> </w:t>
            </w:r>
          </w:p>
          <w:p w:rsidR="009C07B4" w:rsidRPr="00361A5B" w:rsidRDefault="008630B9" w:rsidP="009C07B4">
            <w:pPr>
              <w:rPr>
                <w:lang w:val="en-US"/>
              </w:rPr>
            </w:pPr>
            <w:r>
              <w:rPr>
                <w:lang w:val="en-US"/>
              </w:rPr>
              <w:t>(</w:t>
            </w:r>
            <w:r w:rsidR="00C93429" w:rsidRPr="00361A5B">
              <w:rPr>
                <w:lang w:val="en-US"/>
              </w:rPr>
              <w:t>Tun</w:t>
            </w:r>
            <w:r w:rsidR="00C93429">
              <w:rPr>
                <w:lang w:val="en-US"/>
              </w:rPr>
              <w:t xml:space="preserve">esische </w:t>
            </w:r>
            <w:r w:rsidR="00C93429" w:rsidRPr="00361A5B">
              <w:rPr>
                <w:lang w:val="en-US"/>
              </w:rPr>
              <w:t>Agen</w:t>
            </w:r>
            <w:r w:rsidR="00C93429">
              <w:rPr>
                <w:lang w:val="en-US"/>
              </w:rPr>
              <w:t>tur</w:t>
            </w:r>
            <w:r w:rsidR="00C93429" w:rsidRPr="00361A5B">
              <w:rPr>
                <w:lang w:val="en-US"/>
              </w:rPr>
              <w:t xml:space="preserve"> f</w:t>
            </w:r>
            <w:r w:rsidR="00C93429">
              <w:rPr>
                <w:lang w:val="en-US"/>
              </w:rPr>
              <w:t>ü</w:t>
            </w:r>
            <w:r w:rsidR="00C93429" w:rsidRPr="00361A5B">
              <w:rPr>
                <w:lang w:val="en-US"/>
              </w:rPr>
              <w:t>r Agr</w:t>
            </w:r>
            <w:r w:rsidR="00C93429">
              <w:rPr>
                <w:lang w:val="en-US"/>
              </w:rPr>
              <w:t>ari</w:t>
            </w:r>
            <w:r w:rsidR="00C93429" w:rsidRPr="00361A5B">
              <w:rPr>
                <w:lang w:val="en-US"/>
              </w:rPr>
              <w:t>nvest</w:t>
            </w:r>
            <w:r w:rsidR="00C93429">
              <w:rPr>
                <w:lang w:val="en-US"/>
              </w:rPr>
              <w:t>itionen</w:t>
            </w:r>
            <w:r>
              <w:rPr>
                <w:lang w:val="en-US"/>
              </w:rPr>
              <w:t>)</w:t>
            </w:r>
          </w:p>
        </w:tc>
      </w:tr>
      <w:tr w:rsidR="009C07B4" w:rsidRPr="002B720B" w:rsidTr="00DD3EE4">
        <w:trPr>
          <w:trHeight w:val="824"/>
        </w:trPr>
        <w:tc>
          <w:tcPr>
            <w:tcW w:w="1951" w:type="dxa"/>
          </w:tcPr>
          <w:p w:rsidR="009C07B4" w:rsidRDefault="00C93429" w:rsidP="009C07B4">
            <w:r>
              <w:t>AV</w:t>
            </w:r>
          </w:p>
          <w:p w:rsidR="00AA4A6A" w:rsidRDefault="00AA4A6A" w:rsidP="009C07B4">
            <w:r>
              <w:t>CEMP</w:t>
            </w:r>
          </w:p>
          <w:p w:rsidR="00AA4A6A" w:rsidRDefault="00AA4A6A" w:rsidP="009C07B4">
            <w:r>
              <w:t>C3E</w:t>
            </w:r>
          </w:p>
          <w:p w:rsidR="00636520" w:rsidRDefault="00636520" w:rsidP="009C07B4">
            <w:r>
              <w:t xml:space="preserve"> </w:t>
            </w:r>
          </w:p>
          <w:p w:rsidR="00636520" w:rsidRDefault="00636520" w:rsidP="009C07B4"/>
          <w:p w:rsidR="001F0C3C" w:rsidRPr="002B720B" w:rsidRDefault="00636520" w:rsidP="009C07B4">
            <w:r>
              <w:t>CENAFFIF</w:t>
            </w:r>
          </w:p>
        </w:tc>
        <w:tc>
          <w:tcPr>
            <w:tcW w:w="7259" w:type="dxa"/>
          </w:tcPr>
          <w:p w:rsidR="009C07B4" w:rsidRPr="00576878" w:rsidRDefault="00C93429" w:rsidP="009C07B4">
            <w:r w:rsidRPr="00576878">
              <w:t>Auftragsverantwortlicher</w:t>
            </w:r>
          </w:p>
          <w:p w:rsidR="00AA4A6A" w:rsidRPr="004C63A8" w:rsidRDefault="00AA4A6A" w:rsidP="009C07B4">
            <w:pPr>
              <w:rPr>
                <w:rFonts w:eastAsia="Cambria" w:cs="Arial"/>
                <w:bCs/>
                <w:szCs w:val="22"/>
                <w:lang w:eastAsia="fr-FR"/>
              </w:rPr>
            </w:pPr>
            <w:r w:rsidRPr="007B66EF">
              <w:rPr>
                <w:rFonts w:eastAsia="Cambria" w:cs="Arial"/>
                <w:bCs/>
                <w:i/>
                <w:szCs w:val="22"/>
                <w:lang w:eastAsia="fr-FR"/>
              </w:rPr>
              <w:t>Certified Energy Management Professional</w:t>
            </w:r>
            <w:r w:rsidR="004C63A8">
              <w:rPr>
                <w:rFonts w:eastAsia="Cambria" w:cs="Arial"/>
                <w:bCs/>
                <w:i/>
                <w:szCs w:val="22"/>
                <w:lang w:eastAsia="fr-FR"/>
              </w:rPr>
              <w:t xml:space="preserve"> </w:t>
            </w:r>
            <w:r w:rsidR="004C63A8">
              <w:rPr>
                <w:rFonts w:eastAsia="Cambria" w:cs="Arial"/>
                <w:bCs/>
                <w:szCs w:val="22"/>
                <w:lang w:eastAsia="fr-FR"/>
              </w:rPr>
              <w:t>(Zertifizierter Energie-Manager)</w:t>
            </w:r>
          </w:p>
          <w:p w:rsidR="001F0C3C" w:rsidRPr="00DD3EE4" w:rsidRDefault="00AA4A6A" w:rsidP="00051A30">
            <w:pPr>
              <w:rPr>
                <w:rFonts w:cs="Arial"/>
                <w:i/>
                <w:szCs w:val="22"/>
                <w:lang w:val="fr-FR"/>
              </w:rPr>
            </w:pPr>
            <w:r w:rsidRPr="00576878">
              <w:rPr>
                <w:rFonts w:eastAsia="Calibri" w:cs="Arial"/>
                <w:i/>
                <w:szCs w:val="22"/>
                <w:lang w:val="fr-FR" w:eastAsia="en-US"/>
              </w:rPr>
              <w:t>Expert-Spécialiste en Efficacité Energétique</w:t>
            </w:r>
            <w:r w:rsidR="004C63A8" w:rsidRPr="00576878">
              <w:rPr>
                <w:rFonts w:eastAsia="Calibri" w:cs="Arial"/>
                <w:i/>
                <w:szCs w:val="22"/>
                <w:lang w:val="fr-FR" w:eastAsia="en-US"/>
              </w:rPr>
              <w:t xml:space="preserve"> </w:t>
            </w:r>
            <w:r w:rsidR="004C63A8" w:rsidRPr="00576878">
              <w:rPr>
                <w:rFonts w:eastAsia="Calibri" w:cs="Arial"/>
                <w:szCs w:val="22"/>
                <w:lang w:val="fr-FR" w:eastAsia="en-US"/>
              </w:rPr>
              <w:t>(Spezialist in Energieeff</w:t>
            </w:r>
            <w:r w:rsidR="004C63A8" w:rsidRPr="00576878">
              <w:rPr>
                <w:rFonts w:eastAsia="Calibri" w:cs="Arial"/>
                <w:szCs w:val="22"/>
                <w:lang w:val="fr-FR" w:eastAsia="en-US"/>
              </w:rPr>
              <w:t>i</w:t>
            </w:r>
            <w:r w:rsidR="004C63A8" w:rsidRPr="00576878">
              <w:rPr>
                <w:rFonts w:eastAsia="Calibri" w:cs="Arial"/>
                <w:szCs w:val="22"/>
                <w:lang w:val="fr-FR" w:eastAsia="en-US"/>
              </w:rPr>
              <w:t>zienz)</w:t>
            </w:r>
            <w:r w:rsidR="001F0C3C" w:rsidRPr="00DD3EE4">
              <w:rPr>
                <w:rFonts w:cs="Arial"/>
                <w:i/>
                <w:szCs w:val="22"/>
                <w:lang w:val="fr-FR"/>
              </w:rPr>
              <w:t xml:space="preserve">Centre </w:t>
            </w:r>
            <w:r w:rsidR="008630B9">
              <w:rPr>
                <w:rFonts w:cs="Arial"/>
                <w:i/>
                <w:szCs w:val="22"/>
                <w:lang w:val="fr-FR"/>
              </w:rPr>
              <w:t>n</w:t>
            </w:r>
            <w:r w:rsidR="001F0C3C" w:rsidRPr="00DD3EE4">
              <w:rPr>
                <w:rFonts w:cs="Arial"/>
                <w:i/>
                <w:szCs w:val="22"/>
                <w:lang w:val="fr-FR"/>
              </w:rPr>
              <w:t>ational de Formation de Formateurs et d’Ingénierie de</w:t>
            </w:r>
          </w:p>
          <w:p w:rsidR="001F0C3C" w:rsidRPr="00DD3EE4" w:rsidRDefault="001F0C3C">
            <w:pPr>
              <w:rPr>
                <w:rFonts w:cs="Arial"/>
                <w:i/>
                <w:szCs w:val="22"/>
              </w:rPr>
            </w:pPr>
            <w:r w:rsidRPr="00DD3EE4">
              <w:rPr>
                <w:rFonts w:cs="Arial"/>
                <w:i/>
                <w:szCs w:val="22"/>
              </w:rPr>
              <w:t>Formation</w:t>
            </w:r>
            <w:r w:rsidR="003C25C0" w:rsidRPr="00DD3EE4">
              <w:rPr>
                <w:rFonts w:cs="Arial"/>
                <w:szCs w:val="22"/>
              </w:rPr>
              <w:t xml:space="preserve"> (Tunesisches Zentrum für die Ausbildung von Ausbildern und Engineering &amp; Schulung)</w:t>
            </w:r>
          </w:p>
        </w:tc>
      </w:tr>
      <w:tr w:rsidR="009C07B4" w:rsidRPr="002B720B" w:rsidTr="001F0C3C">
        <w:tc>
          <w:tcPr>
            <w:tcW w:w="1951" w:type="dxa"/>
          </w:tcPr>
          <w:p w:rsidR="009C07B4" w:rsidRPr="002B720B" w:rsidRDefault="00C93429" w:rsidP="009C07B4">
            <w:r>
              <w:t>COP</w:t>
            </w:r>
          </w:p>
        </w:tc>
        <w:tc>
          <w:tcPr>
            <w:tcW w:w="7259" w:type="dxa"/>
          </w:tcPr>
          <w:p w:rsidR="009C07B4" w:rsidRPr="002B720B" w:rsidRDefault="003C25C0" w:rsidP="00670C3C">
            <w:r w:rsidRPr="00DD3EE4">
              <w:rPr>
                <w:i/>
              </w:rPr>
              <w:t>Conference of Parties</w:t>
            </w:r>
            <w:r>
              <w:t xml:space="preserve"> (</w:t>
            </w:r>
            <w:r w:rsidR="00670C3C">
              <w:t>Vertragsstaatenkonferenz</w:t>
            </w:r>
            <w:r>
              <w:t>)</w:t>
            </w:r>
          </w:p>
        </w:tc>
      </w:tr>
      <w:tr w:rsidR="00D3161F" w:rsidRPr="00D3161F" w:rsidTr="001F0C3C">
        <w:tc>
          <w:tcPr>
            <w:tcW w:w="1951" w:type="dxa"/>
          </w:tcPr>
          <w:p w:rsidR="00D3161F" w:rsidRPr="002B720B" w:rsidRDefault="00D3161F" w:rsidP="009C07B4">
            <w:r>
              <w:t>CPT</w:t>
            </w:r>
          </w:p>
        </w:tc>
        <w:tc>
          <w:tcPr>
            <w:tcW w:w="7259" w:type="dxa"/>
          </w:tcPr>
          <w:p w:rsidR="00D3161F" w:rsidRPr="00D3161F" w:rsidRDefault="00D3161F" w:rsidP="009C07B4">
            <w:pPr>
              <w:rPr>
                <w:i/>
              </w:rPr>
            </w:pPr>
            <w:r w:rsidRPr="00D3161F">
              <w:rPr>
                <w:i/>
              </w:rPr>
              <w:t>CPT- Kenitra (Centre de Perfectionnement technique</w:t>
            </w:r>
            <w:r w:rsidRPr="00DD3EE4">
              <w:rPr>
                <w:i/>
              </w:rPr>
              <w:t>)</w:t>
            </w:r>
            <w:r w:rsidRPr="00DD3EE4">
              <w:t xml:space="preserve"> (Marokkanisches Zentrum für berufliche Weiterbildung</w:t>
            </w:r>
            <w:r w:rsidR="00872120">
              <w:t xml:space="preserve"> in Kenitra</w:t>
            </w:r>
            <w:r w:rsidRPr="00DD3EE4">
              <w:t>)</w:t>
            </w:r>
          </w:p>
        </w:tc>
      </w:tr>
      <w:tr w:rsidR="009C07B4" w:rsidRPr="002B720B" w:rsidTr="001F0C3C">
        <w:tc>
          <w:tcPr>
            <w:tcW w:w="1951" w:type="dxa"/>
          </w:tcPr>
          <w:p w:rsidR="009C07B4" w:rsidRPr="002B720B" w:rsidRDefault="00C93429" w:rsidP="009C07B4">
            <w:r w:rsidRPr="002B720B">
              <w:t>CSP</w:t>
            </w:r>
          </w:p>
        </w:tc>
        <w:tc>
          <w:tcPr>
            <w:tcW w:w="7259" w:type="dxa"/>
          </w:tcPr>
          <w:p w:rsidR="009C07B4" w:rsidRPr="002B720B" w:rsidRDefault="003C25C0" w:rsidP="009C07B4">
            <w:r w:rsidRPr="00DD3EE4">
              <w:rPr>
                <w:i/>
              </w:rPr>
              <w:t xml:space="preserve">Concentrated Solar Power </w:t>
            </w:r>
            <w:r>
              <w:t>(</w:t>
            </w:r>
            <w:r w:rsidR="00C93429">
              <w:t>K</w:t>
            </w:r>
            <w:r w:rsidR="00C93429" w:rsidRPr="002B720B">
              <w:t>on</w:t>
            </w:r>
            <w:r w:rsidR="00C93429">
              <w:t>zentrierte</w:t>
            </w:r>
            <w:r w:rsidR="00C93429" w:rsidRPr="002B720B">
              <w:t xml:space="preserve"> Solar</w:t>
            </w:r>
            <w:r w:rsidR="00C93429">
              <w:t>thermie</w:t>
            </w:r>
            <w:r>
              <w:t>)</w:t>
            </w:r>
          </w:p>
        </w:tc>
      </w:tr>
      <w:tr w:rsidR="00D30017" w:rsidRPr="00D30017" w:rsidTr="001F0C3C">
        <w:tc>
          <w:tcPr>
            <w:tcW w:w="1951" w:type="dxa"/>
          </w:tcPr>
          <w:p w:rsidR="00D30017" w:rsidRPr="00DD3EE4" w:rsidRDefault="00D30017" w:rsidP="009C07B4">
            <w:r w:rsidRPr="00DD3EE4">
              <w:t>DFP</w:t>
            </w:r>
          </w:p>
        </w:tc>
        <w:tc>
          <w:tcPr>
            <w:tcW w:w="7259" w:type="dxa"/>
          </w:tcPr>
          <w:p w:rsidR="00D30017" w:rsidRPr="00DD3EE4" w:rsidRDefault="00D30017">
            <w:pPr>
              <w:rPr>
                <w:i/>
              </w:rPr>
            </w:pPr>
            <w:r w:rsidRPr="00DD3EE4">
              <w:rPr>
                <w:i/>
              </w:rPr>
              <w:t xml:space="preserve">Département de la Formation professionnelle, Ministère de l'Emploi et des Affaires sociales </w:t>
            </w:r>
            <w:r w:rsidRPr="00DD3EE4">
              <w:t xml:space="preserve">(Abteilung für Berufsbildung des </w:t>
            </w:r>
            <w:r w:rsidR="00872120">
              <w:t>m</w:t>
            </w:r>
            <w:r w:rsidRPr="00DD3EE4">
              <w:t>arokkanischen Ministeriums für Arbeit und Soziales)</w:t>
            </w:r>
          </w:p>
        </w:tc>
      </w:tr>
      <w:tr w:rsidR="004F12F6" w:rsidRPr="00F17862" w:rsidTr="001F0C3C">
        <w:tc>
          <w:tcPr>
            <w:tcW w:w="1951" w:type="dxa"/>
          </w:tcPr>
          <w:p w:rsidR="004F12F6" w:rsidRPr="007B5A79" w:rsidRDefault="004F12F6" w:rsidP="009C07B4">
            <w:r w:rsidRPr="007B5A79">
              <w:t>DMS</w:t>
            </w:r>
          </w:p>
        </w:tc>
        <w:tc>
          <w:tcPr>
            <w:tcW w:w="7259" w:type="dxa"/>
          </w:tcPr>
          <w:p w:rsidR="004F12F6" w:rsidRPr="00DD3EE4" w:rsidRDefault="004F12F6" w:rsidP="0034603D">
            <w:pPr>
              <w:rPr>
                <w:i/>
                <w:lang w:val="fr-FR"/>
              </w:rPr>
            </w:pPr>
            <w:r w:rsidRPr="00DD3EE4">
              <w:rPr>
                <w:i/>
                <w:lang w:val="fr-FR"/>
              </w:rPr>
              <w:t xml:space="preserve">Développement du Marché solaire </w:t>
            </w:r>
            <w:r w:rsidR="0034603D" w:rsidRPr="00DD3EE4">
              <w:rPr>
                <w:lang w:val="fr-FR"/>
              </w:rPr>
              <w:t>(</w:t>
            </w:r>
            <w:r w:rsidR="000C16E6">
              <w:rPr>
                <w:lang w:val="fr-FR"/>
              </w:rPr>
              <w:t>TZ-Vorhaben « </w:t>
            </w:r>
            <w:r w:rsidR="0034603D" w:rsidRPr="00051A30">
              <w:t>Entwicklu</w:t>
            </w:r>
            <w:r w:rsidR="0076585F" w:rsidRPr="00051A30">
              <w:t>ng des T</w:t>
            </w:r>
            <w:r w:rsidR="0034603D" w:rsidRPr="00051A30">
              <w:t>unesischen Solarmarkts</w:t>
            </w:r>
            <w:r w:rsidR="000C16E6" w:rsidRPr="00051A30">
              <w:t> »</w:t>
            </w:r>
            <w:r w:rsidR="0034603D" w:rsidRPr="00051A30">
              <w:t>)</w:t>
            </w:r>
            <w:r w:rsidR="0034603D" w:rsidRPr="00DD3EE4">
              <w:rPr>
                <w:lang w:val="fr-FR"/>
              </w:rPr>
              <w:t xml:space="preserve">  </w:t>
            </w:r>
          </w:p>
        </w:tc>
      </w:tr>
      <w:tr w:rsidR="009C07B4" w:rsidRPr="002B720B" w:rsidTr="001F0C3C">
        <w:tc>
          <w:tcPr>
            <w:tcW w:w="1951" w:type="dxa"/>
          </w:tcPr>
          <w:p w:rsidR="009C07B4" w:rsidRPr="007B5A79" w:rsidRDefault="00C93429" w:rsidP="009C07B4">
            <w:r w:rsidRPr="007B5A79">
              <w:t>EE</w:t>
            </w:r>
          </w:p>
        </w:tc>
        <w:tc>
          <w:tcPr>
            <w:tcW w:w="7259" w:type="dxa"/>
          </w:tcPr>
          <w:p w:rsidR="009C07B4" w:rsidRPr="00C60CD3" w:rsidRDefault="003C25C0" w:rsidP="009C07B4">
            <w:r w:rsidRPr="00DD3EE4">
              <w:rPr>
                <w:i/>
              </w:rPr>
              <w:t>Energy Efficiency</w:t>
            </w:r>
            <w:r w:rsidRPr="007B5A79">
              <w:t xml:space="preserve"> (</w:t>
            </w:r>
            <w:r w:rsidR="00C93429" w:rsidRPr="007B5A79">
              <w:t>Energieeffizienz</w:t>
            </w:r>
            <w:r w:rsidRPr="00B87E49">
              <w:t>)</w:t>
            </w:r>
          </w:p>
        </w:tc>
      </w:tr>
      <w:tr w:rsidR="001D58CB" w:rsidRPr="00576878" w:rsidTr="001F0C3C">
        <w:tc>
          <w:tcPr>
            <w:tcW w:w="1951" w:type="dxa"/>
          </w:tcPr>
          <w:p w:rsidR="001D58CB" w:rsidRPr="007B5A79" w:rsidRDefault="001D58CB">
            <w:r w:rsidRPr="007B5A79">
              <w:t>EMC</w:t>
            </w:r>
          </w:p>
        </w:tc>
        <w:tc>
          <w:tcPr>
            <w:tcW w:w="7259" w:type="dxa"/>
          </w:tcPr>
          <w:p w:rsidR="001D58CB" w:rsidRPr="00DD3EE4" w:rsidRDefault="00D3161F" w:rsidP="009C07B4">
            <w:pPr>
              <w:rPr>
                <w:i/>
                <w:lang w:val="fr-FR"/>
              </w:rPr>
            </w:pPr>
            <w:r w:rsidRPr="00B87E49">
              <w:rPr>
                <w:i/>
                <w:lang w:val="fr-FR"/>
              </w:rPr>
              <w:t xml:space="preserve">Cluster EMC : </w:t>
            </w:r>
            <w:r w:rsidR="001D58CB" w:rsidRPr="00DD3EE4">
              <w:rPr>
                <w:i/>
                <w:lang w:val="fr-FR"/>
              </w:rPr>
              <w:t>Efficacité énergétique dans les Matériaux de Constru</w:t>
            </w:r>
            <w:r w:rsidR="001D58CB" w:rsidRPr="00DD3EE4">
              <w:rPr>
                <w:i/>
                <w:lang w:val="fr-FR"/>
              </w:rPr>
              <w:t>c</w:t>
            </w:r>
            <w:r w:rsidR="001D58CB" w:rsidRPr="00DD3EE4">
              <w:rPr>
                <w:i/>
                <w:lang w:val="fr-FR"/>
              </w:rPr>
              <w:t xml:space="preserve">tion </w:t>
            </w:r>
            <w:r w:rsidR="001D58CB" w:rsidRPr="00DD3EE4">
              <w:rPr>
                <w:lang w:val="fr-FR"/>
              </w:rPr>
              <w:t>(</w:t>
            </w:r>
            <w:r w:rsidR="00D30017" w:rsidRPr="00DD3EE4">
              <w:rPr>
                <w:lang w:val="fr-FR"/>
              </w:rPr>
              <w:t>Marokkanisches Cluster im Bereich Energieeffizienz in Gebäuden)</w:t>
            </w:r>
          </w:p>
        </w:tc>
      </w:tr>
      <w:tr w:rsidR="009C07B4" w:rsidRPr="002B720B" w:rsidTr="001F0C3C">
        <w:tc>
          <w:tcPr>
            <w:tcW w:w="1951" w:type="dxa"/>
          </w:tcPr>
          <w:p w:rsidR="009C07B4" w:rsidRPr="007B5A79" w:rsidRDefault="00C93429" w:rsidP="009C07B4">
            <w:r w:rsidRPr="007B5A79">
              <w:t>EPC</w:t>
            </w:r>
          </w:p>
        </w:tc>
        <w:tc>
          <w:tcPr>
            <w:tcW w:w="7259" w:type="dxa"/>
          </w:tcPr>
          <w:p w:rsidR="009C07B4" w:rsidRPr="00C60CD3" w:rsidRDefault="00C93429" w:rsidP="009C07B4">
            <w:r w:rsidRPr="00DD3EE4">
              <w:rPr>
                <w:i/>
              </w:rPr>
              <w:t>Engineering, Procurement, Construction</w:t>
            </w:r>
            <w:r w:rsidR="003C25C0" w:rsidRPr="007B5A79">
              <w:t xml:space="preserve"> (Beschaffung, Konstruktion, I</w:t>
            </w:r>
            <w:r w:rsidR="003C25C0" w:rsidRPr="007B5A79">
              <w:t>n</w:t>
            </w:r>
            <w:r w:rsidR="003C25C0" w:rsidRPr="007B5A79">
              <w:t>stallation</w:t>
            </w:r>
            <w:r w:rsidR="003C25C0" w:rsidRPr="00B87E49">
              <w:t>)</w:t>
            </w:r>
          </w:p>
        </w:tc>
      </w:tr>
      <w:tr w:rsidR="00330D55" w:rsidRPr="00330D55" w:rsidTr="001F0C3C">
        <w:tc>
          <w:tcPr>
            <w:tcW w:w="1951" w:type="dxa"/>
          </w:tcPr>
          <w:p w:rsidR="00330D55" w:rsidRPr="007B5A79" w:rsidRDefault="00330D55">
            <w:r w:rsidRPr="007B5A79">
              <w:t xml:space="preserve">EST </w:t>
            </w:r>
          </w:p>
        </w:tc>
        <w:tc>
          <w:tcPr>
            <w:tcW w:w="7259" w:type="dxa"/>
          </w:tcPr>
          <w:p w:rsidR="00330D55" w:rsidRPr="00DD3EE4" w:rsidRDefault="00D3161F">
            <w:pPr>
              <w:rPr>
                <w:lang w:val="fr-FR"/>
              </w:rPr>
            </w:pPr>
            <w:r w:rsidRPr="00B87E49">
              <w:rPr>
                <w:i/>
                <w:lang w:val="fr-FR"/>
              </w:rPr>
              <w:t xml:space="preserve">EST-Salé </w:t>
            </w:r>
            <w:r w:rsidR="0076585F" w:rsidRPr="00C60CD3">
              <w:rPr>
                <w:i/>
                <w:lang w:val="fr-FR"/>
              </w:rPr>
              <w:t>(</w:t>
            </w:r>
            <w:r w:rsidR="00330D55" w:rsidRPr="00DD3EE4">
              <w:rPr>
                <w:i/>
                <w:lang w:val="fr-FR"/>
              </w:rPr>
              <w:t>Ecole supérieure de Technologi</w:t>
            </w:r>
            <w:r w:rsidRPr="007B5A79">
              <w:rPr>
                <w:i/>
                <w:lang w:val="fr-FR"/>
              </w:rPr>
              <w:t>e</w:t>
            </w:r>
            <w:r w:rsidR="0076585F" w:rsidRPr="007B5A79">
              <w:rPr>
                <w:i/>
                <w:lang w:val="fr-FR"/>
              </w:rPr>
              <w:t xml:space="preserve">) </w:t>
            </w:r>
            <w:r w:rsidRPr="00B87E49">
              <w:rPr>
                <w:lang w:val="fr-FR"/>
              </w:rPr>
              <w:t> </w:t>
            </w:r>
            <w:r w:rsidRPr="00C60CD3">
              <w:rPr>
                <w:lang w:val="fr-FR"/>
              </w:rPr>
              <w:t>(äquiv. Fachho</w:t>
            </w:r>
            <w:r w:rsidR="00872120">
              <w:rPr>
                <w:lang w:val="fr-FR"/>
              </w:rPr>
              <w:t>ch</w:t>
            </w:r>
            <w:r w:rsidRPr="00C60CD3">
              <w:rPr>
                <w:lang w:val="fr-FR"/>
              </w:rPr>
              <w:t>schule, Salé, Marokko)</w:t>
            </w:r>
          </w:p>
        </w:tc>
      </w:tr>
      <w:tr w:rsidR="009C07B4" w:rsidRPr="002B720B" w:rsidTr="001F0C3C">
        <w:tc>
          <w:tcPr>
            <w:tcW w:w="1951" w:type="dxa"/>
          </w:tcPr>
          <w:p w:rsidR="009C07B4" w:rsidRPr="002B720B" w:rsidRDefault="00C93429" w:rsidP="009C07B4">
            <w:r w:rsidRPr="002B720B">
              <w:t>GW</w:t>
            </w:r>
          </w:p>
        </w:tc>
        <w:tc>
          <w:tcPr>
            <w:tcW w:w="7259" w:type="dxa"/>
          </w:tcPr>
          <w:p w:rsidR="009C07B4" w:rsidRPr="002B720B" w:rsidRDefault="00C93429" w:rsidP="009C07B4">
            <w:r w:rsidRPr="002B720B">
              <w:t>Gigawatt (=1 Mrd. Watt)</w:t>
            </w:r>
          </w:p>
        </w:tc>
      </w:tr>
      <w:tr w:rsidR="00F144DE" w:rsidRPr="00F144DE" w:rsidTr="001F0C3C">
        <w:tc>
          <w:tcPr>
            <w:tcW w:w="1951" w:type="dxa"/>
          </w:tcPr>
          <w:p w:rsidR="00F144DE" w:rsidRPr="002B720B" w:rsidRDefault="00F144DE" w:rsidP="009C07B4">
            <w:r>
              <w:t>IFMEREE</w:t>
            </w:r>
          </w:p>
        </w:tc>
        <w:tc>
          <w:tcPr>
            <w:tcW w:w="7259" w:type="dxa"/>
          </w:tcPr>
          <w:p w:rsidR="00F144DE" w:rsidRPr="00F144DE" w:rsidRDefault="00F144DE" w:rsidP="009C07B4">
            <w:pPr>
              <w:rPr>
                <w:rFonts w:cs="Arial"/>
                <w:bCs/>
                <w:szCs w:val="22"/>
                <w:lang w:eastAsia="en-US"/>
              </w:rPr>
            </w:pPr>
            <w:r w:rsidRPr="00DD3EE4">
              <w:rPr>
                <w:rFonts w:cs="Arial"/>
                <w:bCs/>
                <w:i/>
                <w:szCs w:val="22"/>
                <w:lang w:eastAsia="en-US"/>
              </w:rPr>
              <w:t>Institut de Formation sur les Métiers en Energies renouvelables et en Efficacité énergétique</w:t>
            </w:r>
            <w:r w:rsidRPr="00DD3EE4">
              <w:rPr>
                <w:rFonts w:cs="Arial"/>
                <w:bCs/>
                <w:szCs w:val="22"/>
                <w:lang w:eastAsia="en-US"/>
              </w:rPr>
              <w:t xml:space="preserve"> (</w:t>
            </w:r>
            <w:r w:rsidR="0076585F">
              <w:rPr>
                <w:rFonts w:cs="Arial"/>
                <w:bCs/>
                <w:szCs w:val="22"/>
                <w:lang w:eastAsia="en-US"/>
              </w:rPr>
              <w:t xml:space="preserve">Marokkanisches </w:t>
            </w:r>
            <w:r w:rsidRPr="00DD3EE4">
              <w:rPr>
                <w:rFonts w:cs="Arial"/>
                <w:bCs/>
                <w:szCs w:val="22"/>
                <w:lang w:eastAsia="en-US"/>
              </w:rPr>
              <w:t>Institut für Aus- und Weiterbi</w:t>
            </w:r>
            <w:r w:rsidRPr="00DD3EE4">
              <w:rPr>
                <w:rFonts w:cs="Arial"/>
                <w:bCs/>
                <w:szCs w:val="22"/>
                <w:lang w:eastAsia="en-US"/>
              </w:rPr>
              <w:t>l</w:t>
            </w:r>
            <w:r w:rsidRPr="00DD3EE4">
              <w:rPr>
                <w:rFonts w:cs="Arial"/>
                <w:bCs/>
                <w:szCs w:val="22"/>
                <w:lang w:eastAsia="en-US"/>
              </w:rPr>
              <w:t>dung in Berufen auf dem Gebiet der erneuerbaren Energien und der Energieeffizien</w:t>
            </w:r>
            <w:r>
              <w:rPr>
                <w:rFonts w:cs="Arial"/>
                <w:bCs/>
                <w:szCs w:val="22"/>
                <w:lang w:eastAsia="en-US"/>
              </w:rPr>
              <w:t>z)</w:t>
            </w:r>
          </w:p>
        </w:tc>
      </w:tr>
      <w:tr w:rsidR="009C07B4" w:rsidRPr="002B720B" w:rsidTr="001F0C3C">
        <w:tc>
          <w:tcPr>
            <w:tcW w:w="1951" w:type="dxa"/>
          </w:tcPr>
          <w:p w:rsidR="009C07B4" w:rsidRPr="002B720B" w:rsidRDefault="00C93429" w:rsidP="009C07B4">
            <w:r w:rsidRPr="002B720B">
              <w:t>IKI</w:t>
            </w:r>
          </w:p>
        </w:tc>
        <w:tc>
          <w:tcPr>
            <w:tcW w:w="7259" w:type="dxa"/>
          </w:tcPr>
          <w:p w:rsidR="009C07B4" w:rsidRPr="002B720B" w:rsidRDefault="00C93429" w:rsidP="009C07B4">
            <w:r w:rsidRPr="002B720B">
              <w:rPr>
                <w:rFonts w:cs="Arial"/>
                <w:bCs/>
                <w:szCs w:val="22"/>
                <w:lang w:eastAsia="en-US"/>
              </w:rPr>
              <w:t>Internationale Klimaschutz-Initiative</w:t>
            </w:r>
          </w:p>
        </w:tc>
      </w:tr>
      <w:tr w:rsidR="009C07B4" w:rsidRPr="002B720B" w:rsidTr="001F0C3C">
        <w:tc>
          <w:tcPr>
            <w:tcW w:w="1951" w:type="dxa"/>
          </w:tcPr>
          <w:p w:rsidR="009C07B4" w:rsidRPr="002B720B" w:rsidRDefault="00C93429" w:rsidP="009C07B4">
            <w:r w:rsidRPr="002B720B">
              <w:t>IMA</w:t>
            </w:r>
          </w:p>
        </w:tc>
        <w:tc>
          <w:tcPr>
            <w:tcW w:w="7259" w:type="dxa"/>
          </w:tcPr>
          <w:p w:rsidR="009C07B4" w:rsidRPr="002B720B" w:rsidRDefault="00C93429" w:rsidP="009C07B4">
            <w:r w:rsidRPr="002B720B">
              <w:rPr>
                <w:iCs/>
              </w:rPr>
              <w:t>Inlandsmitarbeiter</w:t>
            </w:r>
          </w:p>
        </w:tc>
      </w:tr>
      <w:tr w:rsidR="009C07B4" w:rsidRPr="002B720B" w:rsidTr="001F0C3C">
        <w:tc>
          <w:tcPr>
            <w:tcW w:w="1951" w:type="dxa"/>
          </w:tcPr>
          <w:p w:rsidR="009C07B4" w:rsidRPr="002B720B" w:rsidRDefault="00C93429" w:rsidP="009C07B4">
            <w:r>
              <w:t>INDC</w:t>
            </w:r>
          </w:p>
        </w:tc>
        <w:tc>
          <w:tcPr>
            <w:tcW w:w="7259" w:type="dxa"/>
          </w:tcPr>
          <w:p w:rsidR="009C07B4" w:rsidRPr="002B720B" w:rsidRDefault="00C93429" w:rsidP="009C07B4">
            <w:pPr>
              <w:rPr>
                <w:iCs/>
              </w:rPr>
            </w:pPr>
            <w:r w:rsidRPr="00DD3EE4">
              <w:rPr>
                <w:i/>
                <w:iCs/>
              </w:rPr>
              <w:t>Intended Nationally Determined Contribution</w:t>
            </w:r>
            <w:r w:rsidR="00480904">
              <w:rPr>
                <w:iCs/>
              </w:rPr>
              <w:t xml:space="preserve"> (B</w:t>
            </w:r>
            <w:r w:rsidR="003C25C0">
              <w:rPr>
                <w:iCs/>
              </w:rPr>
              <w:t>eabsichtiger Beitrag auf nationaler Ebene)</w:t>
            </w:r>
          </w:p>
        </w:tc>
      </w:tr>
      <w:tr w:rsidR="009C07B4" w:rsidRPr="002B720B" w:rsidTr="001F0C3C">
        <w:tc>
          <w:tcPr>
            <w:tcW w:w="1951" w:type="dxa"/>
          </w:tcPr>
          <w:p w:rsidR="009C07B4" w:rsidRPr="002B720B" w:rsidRDefault="00C93429" w:rsidP="009C07B4">
            <w:r w:rsidRPr="002B720B">
              <w:t>IPP</w:t>
            </w:r>
          </w:p>
        </w:tc>
        <w:tc>
          <w:tcPr>
            <w:tcW w:w="7259" w:type="dxa"/>
          </w:tcPr>
          <w:p w:rsidR="009C07B4" w:rsidRPr="002B720B" w:rsidRDefault="003C25C0" w:rsidP="009C07B4">
            <w:pPr>
              <w:rPr>
                <w:iCs/>
              </w:rPr>
            </w:pPr>
            <w:r w:rsidRPr="00DD3EE4">
              <w:rPr>
                <w:i/>
                <w:iCs/>
              </w:rPr>
              <w:t>Independent Power Producer</w:t>
            </w:r>
            <w:r>
              <w:rPr>
                <w:iCs/>
              </w:rPr>
              <w:t xml:space="preserve"> (</w:t>
            </w:r>
            <w:r w:rsidR="00C93429">
              <w:rPr>
                <w:iCs/>
              </w:rPr>
              <w:t>Unabhäniger Stromp</w:t>
            </w:r>
            <w:r w:rsidR="00C93429" w:rsidRPr="002B720B">
              <w:rPr>
                <w:iCs/>
              </w:rPr>
              <w:t>rodu</w:t>
            </w:r>
            <w:r w:rsidR="00C93429">
              <w:rPr>
                <w:iCs/>
              </w:rPr>
              <w:t>zent</w:t>
            </w:r>
            <w:r>
              <w:rPr>
                <w:iCs/>
              </w:rPr>
              <w:t>)</w:t>
            </w:r>
          </w:p>
        </w:tc>
      </w:tr>
      <w:tr w:rsidR="009C07B4" w:rsidRPr="002B720B" w:rsidTr="001F0C3C">
        <w:tc>
          <w:tcPr>
            <w:tcW w:w="1951" w:type="dxa"/>
          </w:tcPr>
          <w:p w:rsidR="009C07B4" w:rsidRPr="002B720B" w:rsidRDefault="00C93429" w:rsidP="009C07B4">
            <w:r w:rsidRPr="002B720B">
              <w:t>IRENA</w:t>
            </w:r>
          </w:p>
        </w:tc>
        <w:tc>
          <w:tcPr>
            <w:tcW w:w="7259" w:type="dxa"/>
          </w:tcPr>
          <w:p w:rsidR="009C07B4" w:rsidRPr="002B720B" w:rsidRDefault="003C25C0" w:rsidP="009C07B4">
            <w:r w:rsidRPr="00DD3EE4">
              <w:rPr>
                <w:bCs/>
                <w:i/>
                <w:iCs/>
              </w:rPr>
              <w:t>International Renewable Energy Agency</w:t>
            </w:r>
            <w:r w:rsidRPr="003C25C0">
              <w:rPr>
                <w:bCs/>
                <w:iCs/>
              </w:rPr>
              <w:t xml:space="preserve"> </w:t>
            </w:r>
            <w:r>
              <w:rPr>
                <w:bCs/>
                <w:iCs/>
              </w:rPr>
              <w:t>(</w:t>
            </w:r>
            <w:r w:rsidR="00C93429" w:rsidRPr="002B720B">
              <w:rPr>
                <w:bCs/>
                <w:iCs/>
              </w:rPr>
              <w:t>International</w:t>
            </w:r>
            <w:r w:rsidR="00C93429">
              <w:rPr>
                <w:bCs/>
                <w:iCs/>
              </w:rPr>
              <w:t>e</w:t>
            </w:r>
            <w:r w:rsidR="00C93429" w:rsidRPr="002B720B">
              <w:rPr>
                <w:bCs/>
                <w:iCs/>
              </w:rPr>
              <w:t xml:space="preserve"> Agen</w:t>
            </w:r>
            <w:r w:rsidR="00C93429">
              <w:rPr>
                <w:bCs/>
                <w:iCs/>
              </w:rPr>
              <w:t xml:space="preserve">tur für </w:t>
            </w:r>
            <w:r w:rsidR="00C93429" w:rsidRPr="00F639AE">
              <w:t>E</w:t>
            </w:r>
            <w:r w:rsidR="00C93429" w:rsidRPr="00F639AE">
              <w:t>r</w:t>
            </w:r>
            <w:r w:rsidR="00C93429" w:rsidRPr="00F639AE">
              <w:t>neuerbare Energ</w:t>
            </w:r>
            <w:r w:rsidR="00C93429">
              <w:t>ien</w:t>
            </w:r>
            <w:r>
              <w:t>)</w:t>
            </w:r>
          </w:p>
        </w:tc>
      </w:tr>
      <w:tr w:rsidR="009C07B4" w:rsidRPr="002B720B" w:rsidTr="001F0C3C">
        <w:tc>
          <w:tcPr>
            <w:tcW w:w="1951" w:type="dxa"/>
          </w:tcPr>
          <w:p w:rsidR="009C07B4" w:rsidRPr="002B720B" w:rsidRDefault="00C93429" w:rsidP="009C07B4">
            <w:r w:rsidRPr="002B720B">
              <w:rPr>
                <w:rFonts w:eastAsia="Calibri" w:cs="Arial"/>
                <w:szCs w:val="22"/>
                <w:lang w:eastAsia="en-US"/>
              </w:rPr>
              <w:t>KKMU</w:t>
            </w:r>
          </w:p>
        </w:tc>
        <w:tc>
          <w:tcPr>
            <w:tcW w:w="7259" w:type="dxa"/>
          </w:tcPr>
          <w:p w:rsidR="009C07B4" w:rsidRPr="002B720B" w:rsidRDefault="00C93429" w:rsidP="009C07B4">
            <w:pPr>
              <w:rPr>
                <w:bCs/>
                <w:iCs/>
              </w:rPr>
            </w:pPr>
            <w:r w:rsidRPr="002B720B">
              <w:rPr>
                <w:bCs/>
                <w:iCs/>
              </w:rPr>
              <w:t>Kleinst-, Klein- und Mittlere Unternehmen</w:t>
            </w:r>
          </w:p>
        </w:tc>
      </w:tr>
      <w:tr w:rsidR="009C07B4" w:rsidRPr="002B720B" w:rsidTr="001F0C3C">
        <w:tc>
          <w:tcPr>
            <w:tcW w:w="1951" w:type="dxa"/>
          </w:tcPr>
          <w:p w:rsidR="009C07B4" w:rsidRPr="002B720B" w:rsidRDefault="00C93429" w:rsidP="009C07B4">
            <w:r w:rsidRPr="002B720B">
              <w:t xml:space="preserve">LAS </w:t>
            </w:r>
          </w:p>
        </w:tc>
        <w:tc>
          <w:tcPr>
            <w:tcW w:w="7259" w:type="dxa"/>
          </w:tcPr>
          <w:p w:rsidR="009C07B4" w:rsidRPr="002B720B" w:rsidRDefault="00872687" w:rsidP="009C07B4">
            <w:r w:rsidRPr="00DD3EE4">
              <w:rPr>
                <w:i/>
              </w:rPr>
              <w:t>League of Arab States</w:t>
            </w:r>
            <w:r>
              <w:t xml:space="preserve"> (</w:t>
            </w:r>
            <w:r w:rsidR="00C93429" w:rsidRPr="002B720B">
              <w:t>L</w:t>
            </w:r>
            <w:r w:rsidR="00C93429">
              <w:t>iga der</w:t>
            </w:r>
            <w:r w:rsidR="00C93429" w:rsidRPr="002B720B">
              <w:t xml:space="preserve"> Arab</w:t>
            </w:r>
            <w:r w:rsidR="00C93429">
              <w:t>ischen</w:t>
            </w:r>
            <w:r w:rsidR="00C93429" w:rsidRPr="002B720B">
              <w:t xml:space="preserve"> Sta</w:t>
            </w:r>
            <w:r w:rsidR="00C93429">
              <w:t>a</w:t>
            </w:r>
            <w:r w:rsidR="00C93429" w:rsidRPr="002B720B">
              <w:t>te</w:t>
            </w:r>
            <w:r w:rsidR="00C93429">
              <w:t>n</w:t>
            </w:r>
            <w:r>
              <w:t>)</w:t>
            </w:r>
          </w:p>
        </w:tc>
      </w:tr>
      <w:tr w:rsidR="009C07B4" w:rsidRPr="00F639AE" w:rsidTr="001F0C3C">
        <w:tc>
          <w:tcPr>
            <w:tcW w:w="1951" w:type="dxa"/>
          </w:tcPr>
          <w:p w:rsidR="009C07B4" w:rsidRPr="002B720B" w:rsidRDefault="00C93429" w:rsidP="009C07B4">
            <w:r w:rsidRPr="002B720B">
              <w:t>MASEN</w:t>
            </w:r>
          </w:p>
        </w:tc>
        <w:tc>
          <w:tcPr>
            <w:tcW w:w="7259" w:type="dxa"/>
          </w:tcPr>
          <w:p w:rsidR="009C07B4" w:rsidRPr="00F17862" w:rsidRDefault="00872687" w:rsidP="009C07B4">
            <w:r w:rsidRPr="00DD3EE4">
              <w:rPr>
                <w:i/>
                <w:iCs/>
              </w:rPr>
              <w:t>Moroccan Agency for Solar Energy</w:t>
            </w:r>
            <w:r>
              <w:rPr>
                <w:iCs/>
              </w:rPr>
              <w:t xml:space="preserve"> (</w:t>
            </w:r>
            <w:r w:rsidR="00C93429" w:rsidRPr="00F639AE">
              <w:rPr>
                <w:iCs/>
              </w:rPr>
              <w:t xml:space="preserve">Marokkanische </w:t>
            </w:r>
            <w:r w:rsidR="00C93429" w:rsidRPr="00F639AE">
              <w:t xml:space="preserve">Agentur für </w:t>
            </w:r>
            <w:r w:rsidR="00C93429" w:rsidRPr="00F17862">
              <w:t>Sola</w:t>
            </w:r>
            <w:r w:rsidR="00C93429" w:rsidRPr="00F17862">
              <w:t>r</w:t>
            </w:r>
            <w:r w:rsidR="00C93429" w:rsidRPr="00F17862">
              <w:t>energie</w:t>
            </w:r>
            <w:r w:rsidRPr="00F17862">
              <w:t>)</w:t>
            </w:r>
          </w:p>
        </w:tc>
      </w:tr>
      <w:tr w:rsidR="009C07B4" w:rsidRPr="00F639AE" w:rsidTr="001F0C3C">
        <w:tc>
          <w:tcPr>
            <w:tcW w:w="1951" w:type="dxa"/>
          </w:tcPr>
          <w:p w:rsidR="009C07B4" w:rsidRPr="002B720B" w:rsidRDefault="00C93429" w:rsidP="009C07B4">
            <w:r>
              <w:t>MEMEE</w:t>
            </w:r>
          </w:p>
        </w:tc>
        <w:tc>
          <w:tcPr>
            <w:tcW w:w="7259" w:type="dxa"/>
          </w:tcPr>
          <w:p w:rsidR="009C07B4" w:rsidRPr="00F639AE" w:rsidRDefault="00872687" w:rsidP="009C07B4">
            <w:r w:rsidRPr="00DD3EE4">
              <w:rPr>
                <w:iCs/>
                <w:lang w:val="fr-FR"/>
              </w:rPr>
              <w:t>Ministère de l’Energie, des Mines, de l’Eau et de l’Environnement (</w:t>
            </w:r>
            <w:r w:rsidR="00C93429" w:rsidRPr="00DD3EE4">
              <w:rPr>
                <w:iCs/>
                <w:lang w:val="fr-FR"/>
              </w:rPr>
              <w:t>M</w:t>
            </w:r>
            <w:r w:rsidR="00C93429" w:rsidRPr="00DD3EE4">
              <w:rPr>
                <w:iCs/>
                <w:lang w:val="fr-FR"/>
              </w:rPr>
              <w:t>a</w:t>
            </w:r>
            <w:r w:rsidR="00C93429" w:rsidRPr="00DD3EE4">
              <w:rPr>
                <w:iCs/>
                <w:lang w:val="fr-FR"/>
              </w:rPr>
              <w:t xml:space="preserve">rokkanisches </w:t>
            </w:r>
            <w:r w:rsidR="00C93429" w:rsidRPr="00DD3EE4">
              <w:rPr>
                <w:lang w:val="fr-FR"/>
              </w:rPr>
              <w:t>Ministerium für Energie, Bergbau, Wasser</w:t>
            </w:r>
            <w:r w:rsidR="008630B9" w:rsidRPr="00DD3EE4">
              <w:rPr>
                <w:lang w:val="fr-FR"/>
              </w:rPr>
              <w:t xml:space="preserve"> u.</w:t>
            </w:r>
            <w:r w:rsidR="00C93429" w:rsidRPr="00DD3EE4">
              <w:rPr>
                <w:lang w:val="fr-FR"/>
              </w:rPr>
              <w:t xml:space="preserve"> </w:t>
            </w:r>
            <w:r w:rsidR="00C93429">
              <w:t>Umwelt</w:t>
            </w:r>
            <w:r>
              <w:t>)</w:t>
            </w:r>
          </w:p>
        </w:tc>
      </w:tr>
      <w:tr w:rsidR="001F0C3C" w:rsidRPr="00F639AE" w:rsidTr="00DD3EE4">
        <w:tc>
          <w:tcPr>
            <w:tcW w:w="1951" w:type="dxa"/>
            <w:vAlign w:val="center"/>
          </w:tcPr>
          <w:p w:rsidR="001F0C3C" w:rsidRDefault="001F0C3C" w:rsidP="009C07B4">
            <w:r w:rsidRPr="00DD3EE4">
              <w:t>MFPE</w:t>
            </w:r>
          </w:p>
        </w:tc>
        <w:tc>
          <w:tcPr>
            <w:tcW w:w="7259" w:type="dxa"/>
            <w:vAlign w:val="center"/>
          </w:tcPr>
          <w:p w:rsidR="001F0C3C" w:rsidRPr="006710DE" w:rsidRDefault="001F0C3C" w:rsidP="009C07B4">
            <w:pPr>
              <w:rPr>
                <w:i/>
                <w:iCs/>
                <w:lang w:val="fr-FR"/>
              </w:rPr>
            </w:pPr>
            <w:r w:rsidRPr="00DD3EE4">
              <w:rPr>
                <w:i/>
                <w:iCs/>
                <w:lang w:val="fr-FR"/>
              </w:rPr>
              <w:t xml:space="preserve">Ministère de la Formation </w:t>
            </w:r>
            <w:r w:rsidR="006710DE" w:rsidRPr="00DD3EE4">
              <w:rPr>
                <w:i/>
                <w:iCs/>
                <w:lang w:val="fr-FR"/>
              </w:rPr>
              <w:t>p</w:t>
            </w:r>
            <w:r w:rsidRPr="00DD3EE4">
              <w:rPr>
                <w:i/>
                <w:iCs/>
                <w:lang w:val="fr-FR"/>
              </w:rPr>
              <w:t>rofessionelle et de l’Emploi</w:t>
            </w:r>
          </w:p>
          <w:p w:rsidR="001F0C3C" w:rsidRPr="0076585F" w:rsidRDefault="006710DE">
            <w:pPr>
              <w:rPr>
                <w:iCs/>
              </w:rPr>
            </w:pPr>
            <w:r w:rsidRPr="00DD3EE4">
              <w:rPr>
                <w:iCs/>
              </w:rPr>
              <w:t>(</w:t>
            </w:r>
            <w:r w:rsidR="001F0C3C" w:rsidRPr="00DD3EE4">
              <w:rPr>
                <w:iCs/>
              </w:rPr>
              <w:t>Tunesisches</w:t>
            </w:r>
            <w:r w:rsidRPr="0076585F">
              <w:t xml:space="preserve"> </w:t>
            </w:r>
            <w:r w:rsidRPr="00DD3EE4">
              <w:rPr>
                <w:iCs/>
              </w:rPr>
              <w:t>Ministerium für Berufsbildung und Beschäftigung)</w:t>
            </w:r>
          </w:p>
        </w:tc>
      </w:tr>
      <w:tr w:rsidR="001F0C3C" w:rsidRPr="002B720B" w:rsidTr="001F0C3C">
        <w:tc>
          <w:tcPr>
            <w:tcW w:w="1951" w:type="dxa"/>
          </w:tcPr>
          <w:p w:rsidR="001F0C3C" w:rsidRPr="002B720B" w:rsidRDefault="001F0C3C" w:rsidP="009C07B4">
            <w:r w:rsidRPr="002B720B">
              <w:t>MW</w:t>
            </w:r>
          </w:p>
        </w:tc>
        <w:tc>
          <w:tcPr>
            <w:tcW w:w="7259" w:type="dxa"/>
          </w:tcPr>
          <w:p w:rsidR="001F0C3C" w:rsidRPr="002B720B" w:rsidRDefault="001F0C3C" w:rsidP="009C07B4">
            <w:r w:rsidRPr="002B720B">
              <w:t>Megawatt (=1 Mio. Watt)</w:t>
            </w:r>
          </w:p>
        </w:tc>
      </w:tr>
      <w:tr w:rsidR="001F0C3C" w:rsidRPr="002B720B" w:rsidTr="001F0C3C">
        <w:tc>
          <w:tcPr>
            <w:tcW w:w="1951" w:type="dxa"/>
          </w:tcPr>
          <w:p w:rsidR="001F0C3C" w:rsidRPr="002B720B" w:rsidRDefault="001F0C3C" w:rsidP="009C07B4">
            <w:r w:rsidRPr="002B720B">
              <w:t>MENA</w:t>
            </w:r>
          </w:p>
        </w:tc>
        <w:tc>
          <w:tcPr>
            <w:tcW w:w="7259" w:type="dxa"/>
          </w:tcPr>
          <w:p w:rsidR="001F0C3C" w:rsidRPr="002B720B" w:rsidRDefault="00872687" w:rsidP="00872687">
            <w:r w:rsidRPr="00DD3EE4">
              <w:rPr>
                <w:i/>
              </w:rPr>
              <w:t>Middle East &amp; North Africa</w:t>
            </w:r>
            <w:r>
              <w:t xml:space="preserve"> (</w:t>
            </w:r>
            <w:r w:rsidR="001F0C3C">
              <w:t>Naher/Mittlerer Osten</w:t>
            </w:r>
            <w:r w:rsidR="001F0C3C" w:rsidRPr="002B720B">
              <w:t xml:space="preserve"> &amp; Nor</w:t>
            </w:r>
            <w:r w:rsidR="001F0C3C">
              <w:t>da</w:t>
            </w:r>
            <w:r w:rsidR="001F0C3C" w:rsidRPr="002B720B">
              <w:t>fri</w:t>
            </w:r>
            <w:r w:rsidR="001F0C3C">
              <w:t>k</w:t>
            </w:r>
            <w:r w:rsidR="001F0C3C" w:rsidRPr="002B720B">
              <w:t>a</w:t>
            </w:r>
            <w:r>
              <w:t>)</w:t>
            </w:r>
          </w:p>
        </w:tc>
      </w:tr>
      <w:tr w:rsidR="001F0C3C" w:rsidRPr="002B720B" w:rsidTr="001F0C3C">
        <w:tc>
          <w:tcPr>
            <w:tcW w:w="1951" w:type="dxa"/>
          </w:tcPr>
          <w:p w:rsidR="001F0C3C" w:rsidRPr="002B720B" w:rsidRDefault="001F0C3C" w:rsidP="009C07B4">
            <w:r w:rsidRPr="002B720B">
              <w:t>NaWi</w:t>
            </w:r>
          </w:p>
        </w:tc>
        <w:tc>
          <w:tcPr>
            <w:tcW w:w="7259" w:type="dxa"/>
          </w:tcPr>
          <w:p w:rsidR="001F0C3C" w:rsidRPr="002B720B" w:rsidRDefault="001F0C3C" w:rsidP="009C07B4">
            <w:r w:rsidRPr="002B720B">
              <w:rPr>
                <w:rFonts w:cs="Arial"/>
                <w:szCs w:val="22"/>
                <w:lang w:eastAsia="en-US"/>
              </w:rPr>
              <w:t>Nachhaltige Wirtschaftsentwicklung</w:t>
            </w:r>
          </w:p>
        </w:tc>
      </w:tr>
      <w:tr w:rsidR="001F0C3C" w:rsidRPr="002B720B" w:rsidTr="001F0C3C">
        <w:tc>
          <w:tcPr>
            <w:tcW w:w="1951" w:type="dxa"/>
          </w:tcPr>
          <w:p w:rsidR="001F0C3C" w:rsidRPr="002B720B" w:rsidRDefault="001F0C3C" w:rsidP="009C07B4">
            <w:r w:rsidRPr="002B720B">
              <w:t>NEEAP</w:t>
            </w:r>
          </w:p>
        </w:tc>
        <w:tc>
          <w:tcPr>
            <w:tcW w:w="7259" w:type="dxa"/>
          </w:tcPr>
          <w:p w:rsidR="001F0C3C" w:rsidRPr="002B720B" w:rsidRDefault="00480904" w:rsidP="009C07B4">
            <w:pPr>
              <w:rPr>
                <w:rFonts w:cs="Arial"/>
                <w:szCs w:val="22"/>
                <w:lang w:eastAsia="en-US"/>
              </w:rPr>
            </w:pPr>
            <w:r w:rsidRPr="00DD3EE4">
              <w:rPr>
                <w:rFonts w:cs="Arial"/>
                <w:bCs/>
                <w:i/>
                <w:szCs w:val="22"/>
              </w:rPr>
              <w:t>National Energy Efficiency Action Plan</w:t>
            </w:r>
            <w:r>
              <w:rPr>
                <w:rFonts w:cs="Arial"/>
                <w:bCs/>
                <w:szCs w:val="22"/>
              </w:rPr>
              <w:t xml:space="preserve"> (</w:t>
            </w:r>
            <w:r w:rsidR="001F0C3C" w:rsidRPr="002B720B">
              <w:rPr>
                <w:rFonts w:cs="Arial"/>
                <w:bCs/>
                <w:szCs w:val="22"/>
              </w:rPr>
              <w:t xml:space="preserve">Nationaler </w:t>
            </w:r>
            <w:r w:rsidR="001F0C3C" w:rsidRPr="002B720B">
              <w:rPr>
                <w:rFonts w:cs="Arial"/>
                <w:szCs w:val="22"/>
              </w:rPr>
              <w:t>Energieeffizienz</w:t>
            </w:r>
            <w:r w:rsidR="001F0C3C">
              <w:rPr>
                <w:rFonts w:cs="Arial"/>
                <w:szCs w:val="22"/>
              </w:rPr>
              <w:t>-A</w:t>
            </w:r>
            <w:r w:rsidR="001F0C3C" w:rsidRPr="002B720B">
              <w:rPr>
                <w:rFonts w:cs="Arial"/>
                <w:szCs w:val="22"/>
              </w:rPr>
              <w:t>ktionsp</w:t>
            </w:r>
            <w:r w:rsidR="001F0C3C" w:rsidRPr="002B720B">
              <w:rPr>
                <w:rFonts w:cs="Arial"/>
                <w:bCs/>
                <w:szCs w:val="22"/>
              </w:rPr>
              <w:t>lan</w:t>
            </w:r>
            <w:r>
              <w:rPr>
                <w:rFonts w:cs="Arial"/>
                <w:bCs/>
                <w:szCs w:val="22"/>
              </w:rPr>
              <w:t>)</w:t>
            </w:r>
          </w:p>
        </w:tc>
      </w:tr>
      <w:tr w:rsidR="001F0C3C" w:rsidRPr="002B720B" w:rsidTr="001F0C3C">
        <w:tc>
          <w:tcPr>
            <w:tcW w:w="1951" w:type="dxa"/>
          </w:tcPr>
          <w:p w:rsidR="001F0C3C" w:rsidRPr="002B720B" w:rsidRDefault="001F0C3C" w:rsidP="009C07B4">
            <w:r w:rsidRPr="002B720B">
              <w:t>NFK</w:t>
            </w:r>
          </w:p>
        </w:tc>
        <w:tc>
          <w:tcPr>
            <w:tcW w:w="7259" w:type="dxa"/>
          </w:tcPr>
          <w:p w:rsidR="001F0C3C" w:rsidRPr="002B720B" w:rsidRDefault="001F0C3C" w:rsidP="009C07B4">
            <w:r w:rsidRPr="002B720B">
              <w:t>Nationale Fachkraft</w:t>
            </w:r>
          </w:p>
        </w:tc>
      </w:tr>
      <w:tr w:rsidR="001F0C3C" w:rsidRPr="00F639AE" w:rsidTr="001F0C3C">
        <w:tc>
          <w:tcPr>
            <w:tcW w:w="1951" w:type="dxa"/>
          </w:tcPr>
          <w:p w:rsidR="001F0C3C" w:rsidRPr="002B720B" w:rsidRDefault="001F0C3C" w:rsidP="009C07B4">
            <w:r w:rsidRPr="002B720B">
              <w:t>NREA</w:t>
            </w:r>
          </w:p>
        </w:tc>
        <w:tc>
          <w:tcPr>
            <w:tcW w:w="7259" w:type="dxa"/>
          </w:tcPr>
          <w:p w:rsidR="001F0C3C" w:rsidRPr="00F639AE" w:rsidRDefault="00480904" w:rsidP="009C07B4">
            <w:r w:rsidRPr="00DD3EE4">
              <w:rPr>
                <w:i/>
              </w:rPr>
              <w:t>New and Renewable Energy Authority</w:t>
            </w:r>
            <w:r>
              <w:t xml:space="preserve"> (</w:t>
            </w:r>
            <w:r w:rsidR="001F0C3C" w:rsidRPr="00F639AE">
              <w:t xml:space="preserve">Ägyptische Agentur für Neue </w:t>
            </w:r>
            <w:r w:rsidR="001F0C3C">
              <w:t xml:space="preserve">&amp; </w:t>
            </w:r>
            <w:r w:rsidR="001F0C3C" w:rsidRPr="00F639AE">
              <w:t>Erneuerbare Energ</w:t>
            </w:r>
            <w:r w:rsidR="001F0C3C">
              <w:t>ien</w:t>
            </w:r>
            <w:r>
              <w:t>)</w:t>
            </w:r>
          </w:p>
        </w:tc>
      </w:tr>
      <w:tr w:rsidR="001F0C3C" w:rsidRPr="002B720B" w:rsidTr="001F0C3C">
        <w:tc>
          <w:tcPr>
            <w:tcW w:w="1951" w:type="dxa"/>
          </w:tcPr>
          <w:p w:rsidR="001F0C3C" w:rsidRPr="002B720B" w:rsidRDefault="001F0C3C" w:rsidP="009C07B4">
            <w:r>
              <w:t>NREAP</w:t>
            </w:r>
          </w:p>
        </w:tc>
        <w:tc>
          <w:tcPr>
            <w:tcW w:w="7259" w:type="dxa"/>
          </w:tcPr>
          <w:p w:rsidR="001F0C3C" w:rsidRPr="002B720B" w:rsidRDefault="00480904" w:rsidP="009C07B4">
            <w:r w:rsidRPr="00DD3EE4">
              <w:rPr>
                <w:rFonts w:cs="Arial"/>
                <w:bCs/>
                <w:i/>
                <w:szCs w:val="22"/>
              </w:rPr>
              <w:t>National Renewable Energy Action Plan</w:t>
            </w:r>
            <w:r>
              <w:rPr>
                <w:rFonts w:cs="Arial"/>
                <w:bCs/>
                <w:szCs w:val="22"/>
              </w:rPr>
              <w:t xml:space="preserve"> (</w:t>
            </w:r>
            <w:r w:rsidR="001F0C3C" w:rsidRPr="002B720B">
              <w:rPr>
                <w:rFonts w:cs="Arial"/>
                <w:bCs/>
                <w:szCs w:val="22"/>
              </w:rPr>
              <w:t xml:space="preserve">Nationaler </w:t>
            </w:r>
            <w:r w:rsidR="001F0C3C">
              <w:rPr>
                <w:rFonts w:cs="Arial"/>
                <w:bCs/>
                <w:szCs w:val="22"/>
              </w:rPr>
              <w:t xml:space="preserve">Erneuerbare </w:t>
            </w:r>
            <w:r w:rsidR="001F0C3C" w:rsidRPr="002B720B">
              <w:rPr>
                <w:rFonts w:cs="Arial"/>
                <w:szCs w:val="22"/>
              </w:rPr>
              <w:t>Ene</w:t>
            </w:r>
            <w:r w:rsidR="001F0C3C" w:rsidRPr="002B720B">
              <w:rPr>
                <w:rFonts w:cs="Arial"/>
                <w:szCs w:val="22"/>
              </w:rPr>
              <w:t>r</w:t>
            </w:r>
            <w:r w:rsidR="001F0C3C" w:rsidRPr="002B720B">
              <w:rPr>
                <w:rFonts w:cs="Arial"/>
                <w:szCs w:val="22"/>
              </w:rPr>
              <w:t>gie</w:t>
            </w:r>
            <w:r w:rsidR="001F0C3C">
              <w:rPr>
                <w:rFonts w:cs="Arial"/>
                <w:szCs w:val="22"/>
              </w:rPr>
              <w:t>n-A</w:t>
            </w:r>
            <w:r w:rsidR="001F0C3C" w:rsidRPr="002B720B">
              <w:rPr>
                <w:rFonts w:cs="Arial"/>
                <w:szCs w:val="22"/>
              </w:rPr>
              <w:t>ktionsp</w:t>
            </w:r>
            <w:r w:rsidR="001F0C3C" w:rsidRPr="002B720B">
              <w:rPr>
                <w:rFonts w:cs="Arial"/>
                <w:bCs/>
                <w:szCs w:val="22"/>
              </w:rPr>
              <w:t>lan</w:t>
            </w:r>
            <w:r>
              <w:rPr>
                <w:rFonts w:cs="Arial"/>
                <w:bCs/>
                <w:szCs w:val="22"/>
              </w:rPr>
              <w:t>)</w:t>
            </w:r>
          </w:p>
        </w:tc>
      </w:tr>
      <w:tr w:rsidR="001F0C3C" w:rsidRPr="00F639AE" w:rsidTr="001F0C3C">
        <w:tc>
          <w:tcPr>
            <w:tcW w:w="1951" w:type="dxa"/>
          </w:tcPr>
          <w:p w:rsidR="001F0C3C" w:rsidRPr="002B720B" w:rsidRDefault="001F0C3C" w:rsidP="009C07B4">
            <w:r>
              <w:t>OECD</w:t>
            </w:r>
          </w:p>
        </w:tc>
        <w:tc>
          <w:tcPr>
            <w:tcW w:w="7259" w:type="dxa"/>
          </w:tcPr>
          <w:p w:rsidR="001F0C3C" w:rsidRPr="00F639AE" w:rsidRDefault="00480904" w:rsidP="009C07B4">
            <w:r w:rsidRPr="00DD3EE4">
              <w:rPr>
                <w:i/>
              </w:rPr>
              <w:t>Organisation for Economic Co-operation and Development</w:t>
            </w:r>
            <w:r>
              <w:t xml:space="preserve"> (</w:t>
            </w:r>
            <w:r w:rsidR="001F0C3C" w:rsidRPr="00F639AE">
              <w:t>Organisat</w:t>
            </w:r>
            <w:r w:rsidR="001F0C3C" w:rsidRPr="00F639AE">
              <w:t>i</w:t>
            </w:r>
            <w:r w:rsidR="001F0C3C" w:rsidRPr="00F639AE">
              <w:t xml:space="preserve">on für Wirtschaftliche Zusammenarbeit und </w:t>
            </w:r>
            <w:r w:rsidR="001F0C3C">
              <w:t>Entwicklung</w:t>
            </w:r>
            <w:r>
              <w:t>)</w:t>
            </w:r>
          </w:p>
        </w:tc>
      </w:tr>
      <w:tr w:rsidR="001F0C3C" w:rsidRPr="00576878" w:rsidTr="001F0C3C">
        <w:tc>
          <w:tcPr>
            <w:tcW w:w="1951" w:type="dxa"/>
          </w:tcPr>
          <w:p w:rsidR="001F0C3C" w:rsidRPr="002B720B" w:rsidRDefault="001F0C3C" w:rsidP="009C07B4">
            <w:r w:rsidRPr="002B720B">
              <w:t>ONEE</w:t>
            </w:r>
          </w:p>
        </w:tc>
        <w:tc>
          <w:tcPr>
            <w:tcW w:w="7259" w:type="dxa"/>
          </w:tcPr>
          <w:p w:rsidR="001F0C3C" w:rsidRPr="00DD3EE4" w:rsidRDefault="00480904" w:rsidP="009C07B4">
            <w:pPr>
              <w:rPr>
                <w:lang w:val="fr-FR"/>
              </w:rPr>
            </w:pPr>
            <w:r w:rsidRPr="00DD3EE4">
              <w:rPr>
                <w:i/>
                <w:iCs/>
                <w:lang w:val="fr-FR"/>
              </w:rPr>
              <w:t>Office national de l’Électricité et de l’Eau potable</w:t>
            </w:r>
            <w:r w:rsidRPr="00DD3EE4">
              <w:rPr>
                <w:iCs/>
                <w:lang w:val="fr-FR"/>
              </w:rPr>
              <w:t xml:space="preserve"> (</w:t>
            </w:r>
            <w:r w:rsidR="001F0C3C" w:rsidRPr="00DD3EE4">
              <w:rPr>
                <w:iCs/>
                <w:lang w:val="fr-FR"/>
              </w:rPr>
              <w:t xml:space="preserve">Marokkanisches Amt </w:t>
            </w:r>
            <w:r w:rsidR="001F0C3C" w:rsidRPr="00DD3EE4">
              <w:rPr>
                <w:lang w:val="fr-FR"/>
              </w:rPr>
              <w:t>für Strom und Wasser</w:t>
            </w:r>
            <w:r>
              <w:rPr>
                <w:lang w:val="fr-FR"/>
              </w:rPr>
              <w:t>)</w:t>
            </w:r>
          </w:p>
        </w:tc>
      </w:tr>
      <w:tr w:rsidR="001D58CB" w:rsidRPr="001D58CB" w:rsidTr="001F0C3C">
        <w:tc>
          <w:tcPr>
            <w:tcW w:w="1951" w:type="dxa"/>
          </w:tcPr>
          <w:p w:rsidR="001D58CB" w:rsidRPr="002B720B" w:rsidRDefault="001D58CB">
            <w:r>
              <w:t>PSM</w:t>
            </w:r>
            <w:r w:rsidR="0048329F">
              <w:t>e</w:t>
            </w:r>
            <w:r>
              <w:t>d</w:t>
            </w:r>
          </w:p>
        </w:tc>
        <w:tc>
          <w:tcPr>
            <w:tcW w:w="7259" w:type="dxa"/>
          </w:tcPr>
          <w:p w:rsidR="001D58CB" w:rsidRPr="001D58CB" w:rsidRDefault="001D58CB" w:rsidP="001D58CB">
            <w:r w:rsidRPr="00DD3EE4">
              <w:rPr>
                <w:i/>
              </w:rPr>
              <w:t>Appui à la mise en œuvre du Plan solaire méditerranéen</w:t>
            </w:r>
            <w:r w:rsidRPr="00DD3EE4">
              <w:t xml:space="preserve"> (</w:t>
            </w:r>
            <w:r w:rsidR="0076585F">
              <w:t>R</w:t>
            </w:r>
            <w:r w:rsidRPr="00DD3EE4">
              <w:t xml:space="preserve">egionale TZ-Massnahme </w:t>
            </w:r>
            <w:r>
              <w:t xml:space="preserve">: </w:t>
            </w:r>
            <w:r w:rsidR="000C16E6">
              <w:t>„</w:t>
            </w:r>
            <w:r w:rsidRPr="00DD3EE4">
              <w:t>Unterstützung der Umsetzung des Mittelmeersolarplans</w:t>
            </w:r>
            <w:r w:rsidR="000C16E6">
              <w:t>“</w:t>
            </w:r>
            <w:r w:rsidRPr="00DD3EE4">
              <w:t>)</w:t>
            </w:r>
          </w:p>
        </w:tc>
      </w:tr>
      <w:tr w:rsidR="001F0C3C" w:rsidRPr="002B720B" w:rsidTr="001F0C3C">
        <w:tc>
          <w:tcPr>
            <w:tcW w:w="1951" w:type="dxa"/>
          </w:tcPr>
          <w:p w:rsidR="001F0C3C" w:rsidRPr="002B720B" w:rsidRDefault="001F0C3C" w:rsidP="009C07B4">
            <w:r w:rsidRPr="002B720B">
              <w:t>PV</w:t>
            </w:r>
          </w:p>
        </w:tc>
        <w:tc>
          <w:tcPr>
            <w:tcW w:w="7259" w:type="dxa"/>
          </w:tcPr>
          <w:p w:rsidR="001F0C3C" w:rsidRPr="002B720B" w:rsidRDefault="001F0C3C" w:rsidP="009C07B4">
            <w:r w:rsidRPr="002B720B">
              <w:t>Photovoltaik</w:t>
            </w:r>
          </w:p>
        </w:tc>
      </w:tr>
      <w:tr w:rsidR="001F0C3C" w:rsidRPr="00F639AE" w:rsidTr="001F0C3C">
        <w:tc>
          <w:tcPr>
            <w:tcW w:w="1951" w:type="dxa"/>
          </w:tcPr>
          <w:p w:rsidR="001F0C3C" w:rsidRPr="002B720B" w:rsidRDefault="001F0C3C" w:rsidP="009C07B4">
            <w:r w:rsidRPr="002B720B">
              <w:t>RCREEE</w:t>
            </w:r>
          </w:p>
        </w:tc>
        <w:tc>
          <w:tcPr>
            <w:tcW w:w="7259" w:type="dxa"/>
          </w:tcPr>
          <w:p w:rsidR="001F0C3C" w:rsidRPr="00F639AE" w:rsidRDefault="00480904" w:rsidP="009C07B4">
            <w:r w:rsidRPr="00DD3EE4">
              <w:rPr>
                <w:i/>
              </w:rPr>
              <w:t>Regional Center for Renewable Energy and Energy Efficiency</w:t>
            </w:r>
            <w:r w:rsidRPr="00480904">
              <w:t xml:space="preserve"> </w:t>
            </w:r>
            <w:r>
              <w:t>(</w:t>
            </w:r>
            <w:r w:rsidR="001F0C3C" w:rsidRPr="00F639AE">
              <w:t>Regi</w:t>
            </w:r>
            <w:r w:rsidR="001F0C3C" w:rsidRPr="00F639AE">
              <w:t>o</w:t>
            </w:r>
            <w:r w:rsidR="001F0C3C" w:rsidRPr="00F639AE">
              <w:t>nal</w:t>
            </w:r>
            <w:r w:rsidR="001F0C3C">
              <w:t>es</w:t>
            </w:r>
            <w:r w:rsidR="001F0C3C" w:rsidRPr="00F639AE">
              <w:t xml:space="preserve"> </w:t>
            </w:r>
            <w:r w:rsidR="001F0C3C">
              <w:t>Z</w:t>
            </w:r>
            <w:r w:rsidR="001F0C3C" w:rsidRPr="00F639AE">
              <w:t>entr</w:t>
            </w:r>
            <w:r w:rsidR="001F0C3C">
              <w:t>um</w:t>
            </w:r>
            <w:r w:rsidR="001F0C3C" w:rsidRPr="00F639AE">
              <w:t xml:space="preserve"> für Erneuerbare Energ</w:t>
            </w:r>
            <w:r w:rsidR="001F0C3C">
              <w:t>ien</w:t>
            </w:r>
            <w:r w:rsidR="001F0C3C" w:rsidRPr="00F639AE">
              <w:t xml:space="preserve"> </w:t>
            </w:r>
            <w:r w:rsidR="001F0C3C">
              <w:t>u</w:t>
            </w:r>
            <w:r w:rsidR="001F0C3C" w:rsidRPr="00F639AE">
              <w:t>nd Energ</w:t>
            </w:r>
            <w:r w:rsidR="001F0C3C">
              <w:t>iee</w:t>
            </w:r>
            <w:r w:rsidR="001F0C3C" w:rsidRPr="00F639AE">
              <w:t>ffi</w:t>
            </w:r>
            <w:r w:rsidR="001F0C3C">
              <w:t>z</w:t>
            </w:r>
            <w:r w:rsidR="001F0C3C" w:rsidRPr="00F639AE">
              <w:t>ien</w:t>
            </w:r>
            <w:r w:rsidR="001F0C3C">
              <w:t>z</w:t>
            </w:r>
            <w:r>
              <w:t>)</w:t>
            </w:r>
          </w:p>
        </w:tc>
      </w:tr>
      <w:tr w:rsidR="001F0C3C" w:rsidRPr="002B720B" w:rsidTr="001F0C3C">
        <w:tc>
          <w:tcPr>
            <w:tcW w:w="1951" w:type="dxa"/>
          </w:tcPr>
          <w:p w:rsidR="001F0C3C" w:rsidRPr="002B720B" w:rsidRDefault="001F0C3C" w:rsidP="009C07B4">
            <w:r w:rsidRPr="002B720B">
              <w:t>RE</w:t>
            </w:r>
          </w:p>
        </w:tc>
        <w:tc>
          <w:tcPr>
            <w:tcW w:w="7259" w:type="dxa"/>
          </w:tcPr>
          <w:p w:rsidR="001F0C3C" w:rsidRPr="002B720B" w:rsidRDefault="00480904" w:rsidP="009C07B4">
            <w:r w:rsidRPr="00DD3EE4">
              <w:rPr>
                <w:i/>
              </w:rPr>
              <w:t>Renewable Energy</w:t>
            </w:r>
            <w:r>
              <w:t xml:space="preserve"> (</w:t>
            </w:r>
            <w:r w:rsidR="001F0C3C" w:rsidRPr="002B720B">
              <w:t>Erneuerbare Energien</w:t>
            </w:r>
            <w:r>
              <w:t>)</w:t>
            </w:r>
          </w:p>
        </w:tc>
      </w:tr>
      <w:tr w:rsidR="001F0C3C" w:rsidRPr="002B720B" w:rsidTr="001F0C3C">
        <w:tc>
          <w:tcPr>
            <w:tcW w:w="1951" w:type="dxa"/>
          </w:tcPr>
          <w:p w:rsidR="001F0C3C" w:rsidRPr="002B720B" w:rsidRDefault="001F0C3C" w:rsidP="009C07B4">
            <w:r w:rsidRPr="002B720B">
              <w:t>RENAC</w:t>
            </w:r>
          </w:p>
        </w:tc>
        <w:tc>
          <w:tcPr>
            <w:tcW w:w="7259" w:type="dxa"/>
          </w:tcPr>
          <w:p w:rsidR="001F0C3C" w:rsidRPr="002B720B" w:rsidRDefault="001F0C3C" w:rsidP="009C07B4">
            <w:r w:rsidRPr="002B720B">
              <w:rPr>
                <w:rFonts w:eastAsia="Cambria" w:cs="Arial"/>
                <w:bCs/>
                <w:szCs w:val="22"/>
                <w:lang w:eastAsia="fr-FR"/>
              </w:rPr>
              <w:t>Renewables Academy Berlin</w:t>
            </w:r>
          </w:p>
        </w:tc>
      </w:tr>
      <w:tr w:rsidR="001F0C3C" w:rsidRPr="002B720B" w:rsidTr="001F0C3C">
        <w:tc>
          <w:tcPr>
            <w:tcW w:w="1951" w:type="dxa"/>
          </w:tcPr>
          <w:p w:rsidR="001F0C3C" w:rsidRPr="002B720B" w:rsidRDefault="001F0C3C" w:rsidP="009C07B4">
            <w:r>
              <w:t>SE4JOBS</w:t>
            </w:r>
          </w:p>
        </w:tc>
        <w:tc>
          <w:tcPr>
            <w:tcW w:w="7259" w:type="dxa"/>
          </w:tcPr>
          <w:p w:rsidR="001F0C3C" w:rsidRPr="002B720B" w:rsidRDefault="001F0C3C" w:rsidP="009C07B4">
            <w:pPr>
              <w:rPr>
                <w:rFonts w:eastAsia="Cambria" w:cs="Arial"/>
                <w:bCs/>
                <w:szCs w:val="22"/>
                <w:lang w:eastAsia="fr-FR"/>
              </w:rPr>
            </w:pPr>
            <w:r>
              <w:rPr>
                <w:rFonts w:eastAsia="Cambria" w:cs="Arial"/>
                <w:bCs/>
                <w:szCs w:val="22"/>
                <w:lang w:eastAsia="fr-FR"/>
              </w:rPr>
              <w:t>Sustainable Energy for Jobs</w:t>
            </w:r>
          </w:p>
        </w:tc>
      </w:tr>
      <w:tr w:rsidR="001F0C3C" w:rsidRPr="00F639AE" w:rsidTr="001F0C3C">
        <w:tc>
          <w:tcPr>
            <w:tcW w:w="1951" w:type="dxa"/>
          </w:tcPr>
          <w:p w:rsidR="001F0C3C" w:rsidRPr="002B720B" w:rsidRDefault="001F0C3C" w:rsidP="009C07B4">
            <w:r w:rsidRPr="002B720B">
              <w:t>STEG</w:t>
            </w:r>
          </w:p>
        </w:tc>
        <w:tc>
          <w:tcPr>
            <w:tcW w:w="7259" w:type="dxa"/>
          </w:tcPr>
          <w:p w:rsidR="001F0C3C" w:rsidRPr="00F639AE" w:rsidRDefault="00480904" w:rsidP="009C07B4">
            <w:r w:rsidRPr="00DD3EE4">
              <w:rPr>
                <w:i/>
              </w:rPr>
              <w:t>Société tunisienne de l‘Electricité et du Gaz</w:t>
            </w:r>
            <w:r w:rsidRPr="00480904">
              <w:t xml:space="preserve"> </w:t>
            </w:r>
            <w:r>
              <w:t>(</w:t>
            </w:r>
            <w:r w:rsidR="001F0C3C" w:rsidRPr="00F639AE">
              <w:t xml:space="preserve">Tunesische Gesellschaft für </w:t>
            </w:r>
            <w:r w:rsidR="001F0C3C">
              <w:t>Strom u</w:t>
            </w:r>
            <w:r w:rsidR="001F0C3C" w:rsidRPr="00F639AE">
              <w:t>nd Gas</w:t>
            </w:r>
            <w:r>
              <w:t>)</w:t>
            </w:r>
          </w:p>
        </w:tc>
      </w:tr>
      <w:tr w:rsidR="001F0C3C" w:rsidRPr="002B720B" w:rsidTr="001F0C3C">
        <w:tc>
          <w:tcPr>
            <w:tcW w:w="1951" w:type="dxa"/>
          </w:tcPr>
          <w:p w:rsidR="001F0C3C" w:rsidRPr="002B720B" w:rsidRDefault="001F0C3C" w:rsidP="009C07B4">
            <w:r w:rsidRPr="002B720B">
              <w:t>SWH</w:t>
            </w:r>
          </w:p>
        </w:tc>
        <w:tc>
          <w:tcPr>
            <w:tcW w:w="7259" w:type="dxa"/>
          </w:tcPr>
          <w:p w:rsidR="001F0C3C" w:rsidRPr="002B720B" w:rsidRDefault="00480904" w:rsidP="009C07B4">
            <w:r w:rsidRPr="00DD3EE4">
              <w:rPr>
                <w:i/>
              </w:rPr>
              <w:t>Solar Water Heating</w:t>
            </w:r>
            <w:r>
              <w:t xml:space="preserve"> (</w:t>
            </w:r>
            <w:r w:rsidR="001F0C3C" w:rsidRPr="002B720B">
              <w:t>Solar</w:t>
            </w:r>
            <w:r w:rsidR="001F0C3C">
              <w:t>e Wassererwärmung</w:t>
            </w:r>
            <w:r>
              <w:t>)</w:t>
            </w:r>
          </w:p>
        </w:tc>
      </w:tr>
      <w:tr w:rsidR="001F0C3C" w:rsidRPr="002B720B" w:rsidTr="001F0C3C">
        <w:tc>
          <w:tcPr>
            <w:tcW w:w="1951" w:type="dxa"/>
          </w:tcPr>
          <w:p w:rsidR="001F0C3C" w:rsidRPr="002B720B" w:rsidRDefault="001F0C3C" w:rsidP="009C07B4">
            <w:r>
              <w:t>VAE</w:t>
            </w:r>
          </w:p>
        </w:tc>
        <w:tc>
          <w:tcPr>
            <w:tcW w:w="7259" w:type="dxa"/>
          </w:tcPr>
          <w:p w:rsidR="001F0C3C" w:rsidRPr="002B720B" w:rsidRDefault="001F0C3C" w:rsidP="009C07B4">
            <w:r>
              <w:t>Vereinigte Arabische Emirate</w:t>
            </w:r>
          </w:p>
        </w:tc>
      </w:tr>
      <w:tr w:rsidR="001F0C3C" w:rsidRPr="002B720B" w:rsidTr="00DD3EE4">
        <w:trPr>
          <w:trHeight w:val="80"/>
        </w:trPr>
        <w:tc>
          <w:tcPr>
            <w:tcW w:w="1951" w:type="dxa"/>
          </w:tcPr>
          <w:p w:rsidR="001F0C3C" w:rsidRPr="002B720B" w:rsidRDefault="001F0C3C" w:rsidP="009C07B4">
            <w:r w:rsidRPr="002B720B">
              <w:t>WFES</w:t>
            </w:r>
          </w:p>
        </w:tc>
        <w:tc>
          <w:tcPr>
            <w:tcW w:w="7259" w:type="dxa"/>
          </w:tcPr>
          <w:p w:rsidR="001F0C3C" w:rsidRPr="002B720B" w:rsidRDefault="001F0C3C" w:rsidP="009C07B4">
            <w:r w:rsidRPr="002B720B">
              <w:rPr>
                <w:rFonts w:eastAsia="Cambria" w:cs="Arial"/>
                <w:bCs/>
                <w:szCs w:val="22"/>
                <w:lang w:eastAsia="fr-FR"/>
              </w:rPr>
              <w:t>World Future Energy Summit</w:t>
            </w:r>
          </w:p>
        </w:tc>
      </w:tr>
    </w:tbl>
    <w:p w:rsidR="009C07B4" w:rsidRPr="002B720B" w:rsidRDefault="00C93429">
      <w:r w:rsidRPr="002B720B">
        <w:br w:type="page"/>
      </w:r>
    </w:p>
    <w:p w:rsidR="009C07B4" w:rsidRPr="002B720B" w:rsidRDefault="00C93429" w:rsidP="009C07B4">
      <w:pPr>
        <w:pStyle w:val="berschrift1"/>
        <w:jc w:val="both"/>
      </w:pPr>
      <w:bookmarkStart w:id="1" w:name="_Toc460339700"/>
      <w:r w:rsidRPr="002B720B">
        <w:t>A.1.</w:t>
      </w:r>
      <w:r w:rsidRPr="002B720B">
        <w:tab/>
        <w:t>Kurzbeschreibung</w:t>
      </w:r>
      <w:bookmarkEnd w:id="1"/>
    </w:p>
    <w:p w:rsidR="009C07B4" w:rsidRPr="002B720B" w:rsidRDefault="00C93429" w:rsidP="009C07B4">
      <w:pPr>
        <w:autoSpaceDE w:val="0"/>
        <w:autoSpaceDN w:val="0"/>
        <w:adjustRightInd w:val="0"/>
        <w:spacing w:after="120"/>
        <w:jc w:val="both"/>
        <w:rPr>
          <w:rFonts w:cs="Arial"/>
          <w:szCs w:val="22"/>
        </w:rPr>
      </w:pPr>
      <w:r w:rsidRPr="002B720B">
        <w:rPr>
          <w:rFonts w:cs="Arial"/>
        </w:rPr>
        <w:t>Die Länder der MENA-Region verfolgen zunehmend ambitionierte Pläne für die Nutzung nachhaltiger Energien. Neben einer geringeren Umweltbelastung und einer besseren Ve</w:t>
      </w:r>
      <w:r w:rsidRPr="002B720B">
        <w:rPr>
          <w:rFonts w:cs="Arial"/>
        </w:rPr>
        <w:t>r</w:t>
      </w:r>
      <w:r w:rsidRPr="002B720B">
        <w:rPr>
          <w:rFonts w:cs="Arial"/>
        </w:rPr>
        <w:t>sorgungssicherheit sollen diese auch zu erhöhter lokaler Wertschöpfung und zu neuen A</w:t>
      </w:r>
      <w:r w:rsidRPr="002B720B">
        <w:rPr>
          <w:rFonts w:cs="Arial"/>
        </w:rPr>
        <w:t>r</w:t>
      </w:r>
      <w:r w:rsidRPr="002B720B">
        <w:rPr>
          <w:rFonts w:cs="Arial"/>
        </w:rPr>
        <w:t>beitsplätzen beitragen. Da im Zentrum jedoch bisher meist Großprojekte stehen, sind die Hürden für lokale Anbieter hoch. Die großen Chancen, die sich aus der Entwicklung neuer lokaler Märkte für dezentrale und beschäftigungsintensive Technologien ergeben, werden daher nur unzureichend genutzt. Gleichzeitig wächst die Zahl der Länder (innerhalb wie a</w:t>
      </w:r>
      <w:r w:rsidRPr="002B720B">
        <w:rPr>
          <w:rFonts w:cs="Arial"/>
        </w:rPr>
        <w:t>u</w:t>
      </w:r>
      <w:r w:rsidRPr="002B720B">
        <w:rPr>
          <w:rFonts w:cs="Arial"/>
        </w:rPr>
        <w:t xml:space="preserve">ßerhalb der Region), die </w:t>
      </w:r>
      <w:r w:rsidRPr="002B720B">
        <w:rPr>
          <w:rFonts w:cs="Arial"/>
          <w:szCs w:val="22"/>
        </w:rPr>
        <w:t xml:space="preserve">mit beschäftigungswirksamen Ansätzen experimentiert und hierbei </w:t>
      </w:r>
      <w:r>
        <w:rPr>
          <w:rFonts w:cs="Arial"/>
        </w:rPr>
        <w:t>erste Erfolge verzeichnen</w:t>
      </w:r>
      <w:r w:rsidRPr="002B720B">
        <w:rPr>
          <w:rFonts w:cs="Arial"/>
          <w:szCs w:val="22"/>
        </w:rPr>
        <w:t>. Hieraus ergeben sich große Chancen für einen länder- und regi</w:t>
      </w:r>
      <w:r w:rsidRPr="002B720B">
        <w:rPr>
          <w:rFonts w:cs="Arial"/>
          <w:szCs w:val="22"/>
        </w:rPr>
        <w:t>o</w:t>
      </w:r>
      <w:r w:rsidRPr="002B720B">
        <w:rPr>
          <w:rFonts w:cs="Arial"/>
          <w:szCs w:val="22"/>
        </w:rPr>
        <w:t>nenübergreifenden Wissens- und Erfahrungsaustausch, welcher im Rahmen eines region</w:t>
      </w:r>
      <w:r w:rsidRPr="002B720B">
        <w:rPr>
          <w:rFonts w:cs="Arial"/>
          <w:szCs w:val="22"/>
        </w:rPr>
        <w:t>a</w:t>
      </w:r>
      <w:r w:rsidRPr="002B720B">
        <w:rPr>
          <w:rFonts w:cs="Arial"/>
          <w:szCs w:val="22"/>
        </w:rPr>
        <w:t>len Ansatzes organisiert und unterstützt wird und der die Entwicklungs- und vor allem die Beschäftigungsorientierung von Energiepolitiken verbessern hilft.</w:t>
      </w:r>
    </w:p>
    <w:p w:rsidR="004E585C" w:rsidRDefault="00C93429" w:rsidP="009C07B4">
      <w:pPr>
        <w:autoSpaceDE w:val="0"/>
        <w:autoSpaceDN w:val="0"/>
        <w:adjustRightInd w:val="0"/>
        <w:spacing w:after="120"/>
        <w:jc w:val="both"/>
        <w:rPr>
          <w:rFonts w:cs="Arial"/>
          <w:szCs w:val="22"/>
        </w:rPr>
      </w:pPr>
      <w:r w:rsidRPr="002B720B">
        <w:rPr>
          <w:rFonts w:cs="Arial"/>
          <w:b/>
          <w:szCs w:val="22"/>
        </w:rPr>
        <w:t>Das Projektziel lautet daher:</w:t>
      </w:r>
      <w:r w:rsidRPr="002B720B">
        <w:rPr>
          <w:rFonts w:cs="Arial"/>
          <w:szCs w:val="22"/>
        </w:rPr>
        <w:t xml:space="preserve"> </w:t>
      </w:r>
      <w:r w:rsidRPr="002B720B">
        <w:rPr>
          <w:rFonts w:cs="Arial"/>
          <w:b/>
          <w:szCs w:val="22"/>
        </w:rPr>
        <w:t>Die Voraussetzungen für die Entwicklung von Märkten für beschäftigungsintensive RE/EE-Technologien in der MENA-Region sind verbessert.</w:t>
      </w:r>
      <w:r w:rsidRPr="002B720B">
        <w:rPr>
          <w:rFonts w:cs="Arial"/>
          <w:szCs w:val="22"/>
        </w:rPr>
        <w:t xml:space="preserve"> </w:t>
      </w:r>
    </w:p>
    <w:p w:rsidR="009C07B4" w:rsidRPr="002B720B" w:rsidRDefault="00C93429" w:rsidP="009C07B4">
      <w:pPr>
        <w:autoSpaceDE w:val="0"/>
        <w:autoSpaceDN w:val="0"/>
        <w:adjustRightInd w:val="0"/>
        <w:spacing w:after="120"/>
        <w:jc w:val="both"/>
        <w:rPr>
          <w:rFonts w:cs="Arial"/>
          <w:szCs w:val="22"/>
        </w:rPr>
      </w:pPr>
      <w:r w:rsidRPr="002B720B">
        <w:rPr>
          <w:rFonts w:cs="Arial"/>
        </w:rPr>
        <w:t>Im Mittelpunkt stehen verteilte Erzeugungsansätze durch Solar- und Windenergie sowie B</w:t>
      </w:r>
      <w:r w:rsidRPr="002B720B">
        <w:rPr>
          <w:rFonts w:cs="Arial"/>
        </w:rPr>
        <w:t>i</w:t>
      </w:r>
      <w:r w:rsidRPr="002B720B">
        <w:rPr>
          <w:rFonts w:cs="Arial"/>
        </w:rPr>
        <w:t xml:space="preserve">omasse, in Verbindung mit Energieeffizienz in Gebäuden, Industrie und Landwirtschaft. </w:t>
      </w:r>
      <w:r w:rsidR="004E585C">
        <w:rPr>
          <w:rFonts w:cs="Arial"/>
          <w:szCs w:val="22"/>
        </w:rPr>
        <w:t>Der</w:t>
      </w:r>
      <w:r w:rsidRPr="002B720B">
        <w:rPr>
          <w:rFonts w:cs="Arial"/>
          <w:szCs w:val="22"/>
        </w:rPr>
        <w:t xml:space="preserve"> Schwerpunkt liegt auf den drei Fokusländern</w:t>
      </w:r>
      <w:r w:rsidRPr="002B720B">
        <w:rPr>
          <w:rFonts w:cs="Arial"/>
        </w:rPr>
        <w:t xml:space="preserve"> Marokko, Tunesien und Ägypten. </w:t>
      </w:r>
    </w:p>
    <w:p w:rsidR="009C07B4" w:rsidRPr="002B720B" w:rsidRDefault="00C93429" w:rsidP="009C07B4">
      <w:pPr>
        <w:autoSpaceDE w:val="0"/>
        <w:autoSpaceDN w:val="0"/>
        <w:adjustRightInd w:val="0"/>
        <w:spacing w:after="120"/>
        <w:jc w:val="both"/>
        <w:rPr>
          <w:rFonts w:cs="Arial"/>
        </w:rPr>
      </w:pPr>
      <w:r w:rsidRPr="002B720B">
        <w:rPr>
          <w:rFonts w:cs="Arial"/>
          <w:szCs w:val="22"/>
        </w:rPr>
        <w:t>Das Vorhaben arbeitet zeitgleich a</w:t>
      </w:r>
      <w:r w:rsidR="004E585C">
        <w:rPr>
          <w:rFonts w:cs="Arial"/>
          <w:szCs w:val="22"/>
        </w:rPr>
        <w:t xml:space="preserve">uf zwei Ebenen: Auf nationaler </w:t>
      </w:r>
      <w:r w:rsidRPr="002B720B">
        <w:rPr>
          <w:rFonts w:cs="Arial"/>
          <w:szCs w:val="22"/>
        </w:rPr>
        <w:t xml:space="preserve">Ebene </w:t>
      </w:r>
      <w:r w:rsidRPr="002B720B">
        <w:rPr>
          <w:rFonts w:cs="Arial"/>
        </w:rPr>
        <w:t>unterstützt es die Partner bei der Identifizierung besonders beschäftigungsintensiver (und noc</w:t>
      </w:r>
      <w:r w:rsidR="00E42650">
        <w:rPr>
          <w:rFonts w:cs="Arial"/>
        </w:rPr>
        <w:t>h unzureichend genutzter) RE/EE-</w:t>
      </w:r>
      <w:r w:rsidRPr="002B720B">
        <w:rPr>
          <w:rFonts w:cs="Arial"/>
        </w:rPr>
        <w:t>Marktsegmente, bei der Entwicklung geeigneter Rahmenbedingungen und angepasster Förderinstrumente sowie beim Auf- und Ausbau der erforderlichen Kompete</w:t>
      </w:r>
      <w:r w:rsidRPr="002B720B">
        <w:rPr>
          <w:rFonts w:cs="Arial"/>
        </w:rPr>
        <w:t>n</w:t>
      </w:r>
      <w:r w:rsidRPr="002B720B">
        <w:rPr>
          <w:rFonts w:cs="Arial"/>
        </w:rPr>
        <w:t>zen und Kapazitäten vor Ort. Empfehlungen werden mit Hilfe von Pilotprojekten getestet und weiter verbessert. Die Ergebnisse werden ausgewertet und mittels geeigneter Kommunikat</w:t>
      </w:r>
      <w:r w:rsidRPr="002B720B">
        <w:rPr>
          <w:rFonts w:cs="Arial"/>
        </w:rPr>
        <w:t>i</w:t>
      </w:r>
      <w:r w:rsidRPr="002B720B">
        <w:rPr>
          <w:rFonts w:cs="Arial"/>
        </w:rPr>
        <w:t xml:space="preserve">onsmittel einem </w:t>
      </w:r>
      <w:r>
        <w:rPr>
          <w:rFonts w:cs="Arial"/>
        </w:rPr>
        <w:t>breiteren</w:t>
      </w:r>
      <w:r w:rsidRPr="002B720B">
        <w:rPr>
          <w:rFonts w:cs="Arial"/>
        </w:rPr>
        <w:t xml:space="preserve"> Publikum zugänglich gemacht. </w:t>
      </w:r>
    </w:p>
    <w:p w:rsidR="009C07B4" w:rsidRPr="002B720B" w:rsidRDefault="00C93429" w:rsidP="009C07B4">
      <w:pPr>
        <w:autoSpaceDE w:val="0"/>
        <w:autoSpaceDN w:val="0"/>
        <w:adjustRightInd w:val="0"/>
        <w:spacing w:after="120"/>
        <w:jc w:val="both"/>
        <w:rPr>
          <w:rFonts w:cs="Arial"/>
        </w:rPr>
      </w:pPr>
      <w:r w:rsidRPr="002B720B">
        <w:rPr>
          <w:rFonts w:cs="Arial"/>
          <w:szCs w:val="22"/>
        </w:rPr>
        <w:t>Auf regionaler (MENA-)Ebene unterstützt es in Zusammenarbeit mit dem Regionalen Zen</w:t>
      </w:r>
      <w:r w:rsidRPr="002B720B">
        <w:rPr>
          <w:rFonts w:cs="Arial"/>
          <w:szCs w:val="22"/>
        </w:rPr>
        <w:t>t</w:t>
      </w:r>
      <w:r w:rsidRPr="002B720B">
        <w:rPr>
          <w:rFonts w:cs="Arial"/>
          <w:szCs w:val="22"/>
        </w:rPr>
        <w:t>rum für erneuerbare Energie und Energieeffizienz (RCREEE) in Kairo und anderen internat</w:t>
      </w:r>
      <w:r w:rsidRPr="002B720B">
        <w:rPr>
          <w:rFonts w:cs="Arial"/>
          <w:szCs w:val="22"/>
        </w:rPr>
        <w:t>i</w:t>
      </w:r>
      <w:r w:rsidRPr="002B720B">
        <w:rPr>
          <w:rFonts w:cs="Arial"/>
          <w:szCs w:val="22"/>
        </w:rPr>
        <w:t>onalen Organisationen</w:t>
      </w:r>
      <w:r>
        <w:rPr>
          <w:rFonts w:cs="Arial"/>
          <w:szCs w:val="22"/>
        </w:rPr>
        <w:t xml:space="preserve">, </w:t>
      </w:r>
      <w:r w:rsidRPr="002B720B">
        <w:rPr>
          <w:rFonts w:cs="Arial"/>
          <w:szCs w:val="22"/>
        </w:rPr>
        <w:t>wie insbesondere der Internationalen Agentur für Erneuerbare Ene</w:t>
      </w:r>
      <w:r w:rsidRPr="002B720B">
        <w:rPr>
          <w:rFonts w:cs="Arial"/>
          <w:szCs w:val="22"/>
        </w:rPr>
        <w:t>r</w:t>
      </w:r>
      <w:r w:rsidRPr="002B720B">
        <w:rPr>
          <w:rFonts w:cs="Arial"/>
          <w:szCs w:val="22"/>
        </w:rPr>
        <w:t>gien (IRENA) in Abu Dhabi und Bonn</w:t>
      </w:r>
      <w:r>
        <w:rPr>
          <w:rFonts w:cs="Arial"/>
          <w:szCs w:val="22"/>
        </w:rPr>
        <w:t>,</w:t>
      </w:r>
      <w:r w:rsidRPr="002B720B">
        <w:rPr>
          <w:rFonts w:cs="Arial"/>
          <w:szCs w:val="22"/>
        </w:rPr>
        <w:t xml:space="preserve"> den Politikdialog und Knowhow-Austausch zu beso</w:t>
      </w:r>
      <w:r w:rsidRPr="002B720B">
        <w:rPr>
          <w:rFonts w:cs="Arial"/>
          <w:szCs w:val="22"/>
        </w:rPr>
        <w:t>n</w:t>
      </w:r>
      <w:r w:rsidRPr="002B720B">
        <w:rPr>
          <w:rFonts w:cs="Arial"/>
          <w:szCs w:val="22"/>
        </w:rPr>
        <w:t>ders erfolgreichen und beschäftigungswirksamen Ansätzen bei der Förderung von RE/EE. Die hierbei gewonnenen Einsichten und Kontakte werden dokumentiert und für die Unte</w:t>
      </w:r>
      <w:r w:rsidRPr="002B720B">
        <w:rPr>
          <w:rFonts w:cs="Arial"/>
          <w:szCs w:val="22"/>
        </w:rPr>
        <w:t>r</w:t>
      </w:r>
      <w:r w:rsidRPr="002B720B">
        <w:rPr>
          <w:rFonts w:cs="Arial"/>
          <w:szCs w:val="22"/>
        </w:rPr>
        <w:t>stützung der Projektarbeit auf nationaler (Fokusländer-)Ebene verfügbar gemacht.</w:t>
      </w:r>
    </w:p>
    <w:p w:rsidR="009C07B4" w:rsidRPr="002B720B" w:rsidRDefault="00C93429" w:rsidP="009C07B4">
      <w:pPr>
        <w:autoSpaceDE w:val="0"/>
        <w:autoSpaceDN w:val="0"/>
        <w:adjustRightInd w:val="0"/>
        <w:spacing w:after="120"/>
        <w:jc w:val="both"/>
        <w:rPr>
          <w:rFonts w:cs="Arial"/>
          <w:szCs w:val="22"/>
        </w:rPr>
      </w:pPr>
      <w:r w:rsidRPr="002B720B">
        <w:rPr>
          <w:rFonts w:cs="Arial"/>
        </w:rPr>
        <w:t>Ziel ist zum einen, konkrete sozio-ökonomische Verbesserungen für lokale Nutzer zu bewi</w:t>
      </w:r>
      <w:r w:rsidRPr="002B720B">
        <w:rPr>
          <w:rFonts w:cs="Arial"/>
        </w:rPr>
        <w:t>r</w:t>
      </w:r>
      <w:r w:rsidRPr="002B720B">
        <w:rPr>
          <w:rFonts w:cs="Arial"/>
        </w:rPr>
        <w:t>ken – vor allem mit Blick auf neue Einkommens- und Beschäftigungsquellen – sowie zum anderen die Basis für ein Upscaling und eine Replikation in anderen Ländern zu schaffen.</w:t>
      </w:r>
    </w:p>
    <w:p w:rsidR="009C07B4" w:rsidRPr="002B720B" w:rsidRDefault="00C93429" w:rsidP="009C07B4">
      <w:pPr>
        <w:autoSpaceDE w:val="0"/>
        <w:autoSpaceDN w:val="0"/>
        <w:adjustRightInd w:val="0"/>
        <w:spacing w:after="120"/>
        <w:jc w:val="both"/>
        <w:rPr>
          <w:rFonts w:cs="Arial"/>
          <w:szCs w:val="22"/>
        </w:rPr>
      </w:pPr>
      <w:r w:rsidRPr="002B720B">
        <w:rPr>
          <w:rFonts w:cs="Arial"/>
          <w:szCs w:val="22"/>
        </w:rPr>
        <w:t>Ergänzend hierzu wurde in einer Anfangsphase das BMZ dabei unterstützt, die derart g</w:t>
      </w:r>
      <w:r w:rsidRPr="002B720B">
        <w:rPr>
          <w:rFonts w:cs="Arial"/>
          <w:szCs w:val="22"/>
        </w:rPr>
        <w:t>e</w:t>
      </w:r>
      <w:r w:rsidRPr="002B720B">
        <w:rPr>
          <w:rFonts w:cs="Arial"/>
          <w:szCs w:val="22"/>
        </w:rPr>
        <w:t>wonnenen Erkenntnisse auszuwerten und in den internationalen Dialog einzubringen. Diese Komponente des Vorhabens wurde auf Wunsch des BMZ nach einem Jahr eingestellt.</w:t>
      </w:r>
    </w:p>
    <w:p w:rsidR="009C07B4" w:rsidRPr="002B720B" w:rsidRDefault="00C93429" w:rsidP="009C07B4">
      <w:pPr>
        <w:autoSpaceDE w:val="0"/>
        <w:autoSpaceDN w:val="0"/>
        <w:adjustRightInd w:val="0"/>
        <w:spacing w:after="120"/>
        <w:jc w:val="both"/>
        <w:rPr>
          <w:rFonts w:cs="Arial"/>
          <w:szCs w:val="22"/>
        </w:rPr>
      </w:pPr>
      <w:r w:rsidRPr="002B720B">
        <w:rPr>
          <w:rFonts w:cs="Arial"/>
          <w:szCs w:val="22"/>
        </w:rPr>
        <w:t>Das Vorhaben hat eine Gesamtlaufzeit von 4 Jahren und einem Monat (12/2013-12/2017) mit Kosten von bis zu 5.000.000 EUR.</w:t>
      </w:r>
      <w:r w:rsidRPr="002B720B">
        <w:rPr>
          <w:rFonts w:cs="Arial"/>
          <w:szCs w:val="22"/>
        </w:rPr>
        <w:br w:type="page"/>
      </w:r>
    </w:p>
    <w:p w:rsidR="009C07B4" w:rsidRPr="002B720B" w:rsidRDefault="00C93429" w:rsidP="009C07B4">
      <w:pPr>
        <w:pStyle w:val="berschrift1"/>
        <w:jc w:val="both"/>
      </w:pPr>
      <w:bookmarkStart w:id="2" w:name="_Toc460339701"/>
      <w:r w:rsidRPr="002B720B">
        <w:t>A.2.</w:t>
      </w:r>
      <w:r w:rsidRPr="002B720B">
        <w:tab/>
        <w:t>Entwicklungen im Schwerpunkt</w:t>
      </w:r>
      <w:bookmarkEnd w:id="2"/>
    </w:p>
    <w:p w:rsidR="009C07B4" w:rsidRPr="002B720B" w:rsidRDefault="00C93429" w:rsidP="009C07B4">
      <w:pPr>
        <w:pStyle w:val="berschrift2"/>
        <w:spacing w:before="0"/>
        <w:jc w:val="both"/>
        <w:rPr>
          <w:b/>
          <w:i/>
        </w:rPr>
      </w:pPr>
      <w:bookmarkStart w:id="3" w:name="_Toc460339702"/>
      <w:r w:rsidRPr="002B720B">
        <w:rPr>
          <w:b/>
          <w:i/>
        </w:rPr>
        <w:t>A.2.1</w:t>
      </w:r>
      <w:r w:rsidRPr="002B720B">
        <w:rPr>
          <w:b/>
          <w:i/>
        </w:rPr>
        <w:tab/>
        <w:t>Entwicklungen bei Zielen und Strat</w:t>
      </w:r>
      <w:r w:rsidR="00E42650">
        <w:rPr>
          <w:b/>
          <w:i/>
        </w:rPr>
        <w:t>egien der</w:t>
      </w:r>
      <w:r w:rsidRPr="002B720B">
        <w:rPr>
          <w:b/>
          <w:i/>
        </w:rPr>
        <w:t xml:space="preserve"> Kooperationsl</w:t>
      </w:r>
      <w:bookmarkEnd w:id="3"/>
      <w:r w:rsidR="00E42650">
        <w:rPr>
          <w:b/>
          <w:i/>
        </w:rPr>
        <w:t>änder</w:t>
      </w:r>
    </w:p>
    <w:p w:rsidR="009C07B4" w:rsidRPr="002B720B" w:rsidRDefault="00C93429" w:rsidP="009C07B4">
      <w:pPr>
        <w:autoSpaceDE w:val="0"/>
        <w:autoSpaceDN w:val="0"/>
        <w:adjustRightInd w:val="0"/>
        <w:spacing w:after="120"/>
        <w:jc w:val="both"/>
        <w:rPr>
          <w:rFonts w:eastAsiaTheme="minorHAnsi" w:cs="Arial"/>
          <w:szCs w:val="22"/>
          <w:lang w:eastAsia="en-US"/>
        </w:rPr>
      </w:pPr>
      <w:r w:rsidRPr="002B720B">
        <w:rPr>
          <w:rFonts w:eastAsiaTheme="minorHAnsi" w:cs="Arial"/>
          <w:szCs w:val="22"/>
          <w:lang w:eastAsia="en-US"/>
        </w:rPr>
        <w:t>Die Summe der offiziellen RE</w:t>
      </w:r>
      <w:r w:rsidR="00CD6C39">
        <w:rPr>
          <w:rFonts w:eastAsiaTheme="minorHAnsi" w:cs="Arial"/>
          <w:szCs w:val="22"/>
          <w:lang w:eastAsia="en-US"/>
        </w:rPr>
        <w:t>-</w:t>
      </w:r>
      <w:r w:rsidRPr="002B720B">
        <w:rPr>
          <w:rFonts w:eastAsiaTheme="minorHAnsi" w:cs="Arial"/>
          <w:szCs w:val="22"/>
          <w:lang w:eastAsia="en-US"/>
        </w:rPr>
        <w:t xml:space="preserve">Ausbauziele von insgesamt 20 </w:t>
      </w:r>
      <w:r w:rsidR="00E42650">
        <w:rPr>
          <w:rFonts w:eastAsiaTheme="minorHAnsi" w:cs="Arial"/>
          <w:szCs w:val="22"/>
          <w:lang w:eastAsia="en-US"/>
        </w:rPr>
        <w:t>MENA-</w:t>
      </w:r>
      <w:r w:rsidRPr="002B720B">
        <w:rPr>
          <w:rFonts w:eastAsiaTheme="minorHAnsi" w:cs="Arial"/>
          <w:szCs w:val="22"/>
          <w:lang w:eastAsia="en-US"/>
        </w:rPr>
        <w:t xml:space="preserve">Ländern </w:t>
      </w:r>
      <w:r>
        <w:rPr>
          <w:rFonts w:eastAsiaTheme="minorHAnsi" w:cs="Arial"/>
          <w:szCs w:val="22"/>
          <w:lang w:eastAsia="en-US"/>
        </w:rPr>
        <w:t>für den Zei</w:t>
      </w:r>
      <w:r>
        <w:rPr>
          <w:rFonts w:eastAsiaTheme="minorHAnsi" w:cs="Arial"/>
          <w:szCs w:val="22"/>
          <w:lang w:eastAsia="en-US"/>
        </w:rPr>
        <w:t>t</w:t>
      </w:r>
      <w:r>
        <w:rPr>
          <w:rFonts w:eastAsiaTheme="minorHAnsi" w:cs="Arial"/>
          <w:szCs w:val="22"/>
          <w:lang w:eastAsia="en-US"/>
        </w:rPr>
        <w:t xml:space="preserve">raum 2020-2030 </w:t>
      </w:r>
      <w:r w:rsidRPr="002B720B">
        <w:rPr>
          <w:rFonts w:eastAsiaTheme="minorHAnsi" w:cs="Arial"/>
          <w:szCs w:val="22"/>
          <w:lang w:eastAsia="en-US"/>
        </w:rPr>
        <w:t xml:space="preserve">beläuft sich </w:t>
      </w:r>
      <w:r>
        <w:rPr>
          <w:rFonts w:eastAsiaTheme="minorHAnsi" w:cs="Arial"/>
          <w:szCs w:val="22"/>
          <w:lang w:eastAsia="en-US"/>
        </w:rPr>
        <w:t>gegenwärtig</w:t>
      </w:r>
      <w:r w:rsidRPr="002B720B">
        <w:rPr>
          <w:rFonts w:eastAsiaTheme="minorHAnsi" w:cs="Arial"/>
          <w:szCs w:val="22"/>
          <w:lang w:eastAsia="en-US"/>
        </w:rPr>
        <w:t xml:space="preserve"> auf über 85 GW; die installierten RE</w:t>
      </w:r>
      <w:r w:rsidR="00CD6C39">
        <w:rPr>
          <w:rFonts w:eastAsiaTheme="minorHAnsi" w:cs="Arial"/>
          <w:szCs w:val="22"/>
          <w:lang w:eastAsia="en-US"/>
        </w:rPr>
        <w:t>-</w:t>
      </w:r>
      <w:r w:rsidRPr="002B720B">
        <w:rPr>
          <w:rFonts w:eastAsiaTheme="minorHAnsi" w:cs="Arial"/>
          <w:szCs w:val="22"/>
          <w:lang w:eastAsia="en-US"/>
        </w:rPr>
        <w:t xml:space="preserve">Stromerzeugungskapazitäten derselben Länder (ohne Wasserkraft) betragen </w:t>
      </w:r>
      <w:r>
        <w:rPr>
          <w:rFonts w:eastAsiaTheme="minorHAnsi" w:cs="Arial"/>
          <w:szCs w:val="22"/>
          <w:lang w:eastAsia="en-US"/>
        </w:rPr>
        <w:t>aktuell üb</w:t>
      </w:r>
      <w:r w:rsidRPr="002B720B">
        <w:rPr>
          <w:rFonts w:eastAsiaTheme="minorHAnsi" w:cs="Arial"/>
          <w:szCs w:val="22"/>
          <w:lang w:eastAsia="en-US"/>
        </w:rPr>
        <w:t>er 3 GW; und in denselben Ländern befinden sich derzeit RE</w:t>
      </w:r>
      <w:r w:rsidR="00CD6C39">
        <w:rPr>
          <w:rFonts w:eastAsiaTheme="minorHAnsi" w:cs="Arial"/>
          <w:szCs w:val="22"/>
          <w:lang w:eastAsia="en-US"/>
        </w:rPr>
        <w:t>-</w:t>
      </w:r>
      <w:r w:rsidRPr="002B720B">
        <w:rPr>
          <w:rFonts w:eastAsiaTheme="minorHAnsi" w:cs="Arial"/>
          <w:szCs w:val="22"/>
          <w:lang w:eastAsia="en-US"/>
        </w:rPr>
        <w:t>Stromkraftwerke mit einer Gesam</w:t>
      </w:r>
      <w:r w:rsidRPr="002B720B">
        <w:rPr>
          <w:rFonts w:eastAsiaTheme="minorHAnsi" w:cs="Arial"/>
          <w:szCs w:val="22"/>
          <w:lang w:eastAsia="en-US"/>
        </w:rPr>
        <w:t>t</w:t>
      </w:r>
      <w:r w:rsidRPr="002B720B">
        <w:rPr>
          <w:rFonts w:eastAsiaTheme="minorHAnsi" w:cs="Arial"/>
          <w:szCs w:val="22"/>
          <w:lang w:eastAsia="en-US"/>
        </w:rPr>
        <w:t>leistung von knapp 2.8 GW im Bau. Zwei Drittel der aktuell installierten Stromerzeugungsk</w:t>
      </w:r>
      <w:r w:rsidRPr="002B720B">
        <w:rPr>
          <w:rFonts w:eastAsiaTheme="minorHAnsi" w:cs="Arial"/>
          <w:szCs w:val="22"/>
          <w:lang w:eastAsia="en-US"/>
        </w:rPr>
        <w:t>a</w:t>
      </w:r>
      <w:r w:rsidRPr="002B720B">
        <w:rPr>
          <w:rFonts w:eastAsiaTheme="minorHAnsi" w:cs="Arial"/>
          <w:szCs w:val="22"/>
          <w:lang w:eastAsia="en-US"/>
        </w:rPr>
        <w:t xml:space="preserve">pazitäten sind Wind, auch die Nutzung von Photovoltaik (PV) entwickelt sich rasch, während solarthermische Kraftwerke (CSP) bislang vor allem in den VAE und Marokko zu finden sind. </w:t>
      </w:r>
    </w:p>
    <w:p w:rsidR="00BA17CF" w:rsidRPr="002B720B" w:rsidRDefault="00C93429" w:rsidP="00BA17CF">
      <w:pPr>
        <w:autoSpaceDE w:val="0"/>
        <w:autoSpaceDN w:val="0"/>
        <w:adjustRightInd w:val="0"/>
        <w:spacing w:after="120"/>
        <w:jc w:val="both"/>
        <w:rPr>
          <w:rFonts w:cs="Arial"/>
          <w:szCs w:val="22"/>
        </w:rPr>
      </w:pPr>
      <w:r w:rsidRPr="002B720B">
        <w:rPr>
          <w:rFonts w:cs="Arial"/>
          <w:szCs w:val="22"/>
        </w:rPr>
        <w:t xml:space="preserve">Einen wichtigen Beitrag </w:t>
      </w:r>
      <w:r w:rsidR="004E585C">
        <w:rPr>
          <w:rFonts w:cs="Arial"/>
          <w:szCs w:val="22"/>
        </w:rPr>
        <w:t>im Bereich EE</w:t>
      </w:r>
      <w:r w:rsidRPr="002B720B">
        <w:rPr>
          <w:rFonts w:cs="Arial"/>
          <w:szCs w:val="22"/>
        </w:rPr>
        <w:t xml:space="preserve"> liefert der NEEAP-Prozess der Arabischen Liga.</w:t>
      </w:r>
      <w:r w:rsidRPr="002B720B">
        <w:rPr>
          <w:rFonts w:cs="Arial"/>
          <w:bCs/>
          <w:szCs w:val="22"/>
        </w:rPr>
        <w:t xml:space="preserve"> Mi</w:t>
      </w:r>
      <w:r w:rsidRPr="002B720B">
        <w:rPr>
          <w:rFonts w:cs="Arial"/>
          <w:bCs/>
          <w:szCs w:val="22"/>
        </w:rPr>
        <w:t>t</w:t>
      </w:r>
      <w:r w:rsidRPr="002B720B">
        <w:rPr>
          <w:rFonts w:cs="Arial"/>
          <w:bCs/>
          <w:szCs w:val="22"/>
        </w:rPr>
        <w:t xml:space="preserve">gliedstaaten sind gehalten, bis zum Jahr 2020 reichende Nationale </w:t>
      </w:r>
      <w:r w:rsidRPr="002B720B">
        <w:rPr>
          <w:rFonts w:cs="Arial"/>
          <w:szCs w:val="22"/>
        </w:rPr>
        <w:t>Energieeffizienzaktion</w:t>
      </w:r>
      <w:r w:rsidRPr="002B720B">
        <w:rPr>
          <w:rFonts w:cs="Arial"/>
          <w:szCs w:val="22"/>
        </w:rPr>
        <w:t>s</w:t>
      </w:r>
      <w:r w:rsidRPr="002B720B">
        <w:rPr>
          <w:rFonts w:cs="Arial"/>
          <w:szCs w:val="22"/>
        </w:rPr>
        <w:t>p</w:t>
      </w:r>
      <w:r w:rsidRPr="002B720B">
        <w:rPr>
          <w:rFonts w:cs="Arial"/>
          <w:bCs/>
          <w:szCs w:val="22"/>
        </w:rPr>
        <w:t>läne (NEEAPs) zu entwickeln,</w:t>
      </w:r>
      <w:r w:rsidRPr="002B720B">
        <w:rPr>
          <w:rFonts w:cs="Arial"/>
          <w:szCs w:val="22"/>
        </w:rPr>
        <w:t xml:space="preserve"> basierend auf dem Vorbild der EU-EE-Richtlinie</w:t>
      </w:r>
      <w:r w:rsidRPr="002B720B">
        <w:rPr>
          <w:rFonts w:cs="Arial"/>
          <w:bCs/>
          <w:szCs w:val="22"/>
        </w:rPr>
        <w:t>.</w:t>
      </w:r>
      <w:r w:rsidRPr="002B720B">
        <w:rPr>
          <w:rFonts w:eastAsiaTheme="minorHAnsi" w:cs="Arial"/>
          <w:szCs w:val="22"/>
          <w:lang w:eastAsia="en-US"/>
        </w:rPr>
        <w:t xml:space="preserve"> Ein Meile</w:t>
      </w:r>
      <w:r w:rsidRPr="002B720B">
        <w:rPr>
          <w:rFonts w:eastAsiaTheme="minorHAnsi" w:cs="Arial"/>
          <w:szCs w:val="22"/>
          <w:lang w:eastAsia="en-US"/>
        </w:rPr>
        <w:t>n</w:t>
      </w:r>
      <w:r w:rsidRPr="002B720B">
        <w:rPr>
          <w:rFonts w:eastAsiaTheme="minorHAnsi" w:cs="Arial"/>
          <w:szCs w:val="22"/>
          <w:lang w:eastAsia="en-US"/>
        </w:rPr>
        <w:t>stein stellte z.B. in Marokko jüngst die Verabschiedung der EE</w:t>
      </w:r>
      <w:r w:rsidR="00CD6C39">
        <w:rPr>
          <w:rFonts w:eastAsiaTheme="minorHAnsi" w:cs="Arial"/>
          <w:szCs w:val="22"/>
          <w:lang w:eastAsia="en-US"/>
        </w:rPr>
        <w:t>-</w:t>
      </w:r>
      <w:r w:rsidRPr="002B720B">
        <w:rPr>
          <w:rFonts w:eastAsiaTheme="minorHAnsi" w:cs="Arial"/>
          <w:szCs w:val="22"/>
          <w:lang w:eastAsia="en-US"/>
        </w:rPr>
        <w:t>Durchführungsverordnung für den Gebäudesektor dar, die ebenso detaillierte wie stringente Vorgaben für den Energieve</w:t>
      </w:r>
      <w:r w:rsidRPr="002B720B">
        <w:rPr>
          <w:rFonts w:eastAsiaTheme="minorHAnsi" w:cs="Arial"/>
          <w:szCs w:val="22"/>
          <w:lang w:eastAsia="en-US"/>
        </w:rPr>
        <w:t>r</w:t>
      </w:r>
      <w:r w:rsidRPr="002B720B">
        <w:rPr>
          <w:rFonts w:eastAsiaTheme="minorHAnsi" w:cs="Arial"/>
          <w:szCs w:val="22"/>
          <w:lang w:eastAsia="en-US"/>
        </w:rPr>
        <w:t>brauch privater und öffentlicher Gebäude macht.</w:t>
      </w:r>
      <w:r w:rsidR="00BA17CF" w:rsidRPr="00BA17CF">
        <w:rPr>
          <w:rFonts w:eastAsiaTheme="minorHAnsi" w:cs="Arial"/>
          <w:szCs w:val="22"/>
          <w:lang w:eastAsia="en-US"/>
        </w:rPr>
        <w:t xml:space="preserve"> </w:t>
      </w:r>
      <w:r w:rsidR="00BA17CF">
        <w:rPr>
          <w:rFonts w:eastAsiaTheme="minorHAnsi" w:cs="Arial"/>
          <w:szCs w:val="22"/>
          <w:lang w:eastAsia="en-US"/>
        </w:rPr>
        <w:t>M</w:t>
      </w:r>
      <w:r w:rsidR="00BA17CF" w:rsidRPr="002B720B">
        <w:rPr>
          <w:rFonts w:eastAsiaTheme="minorHAnsi" w:cs="Arial"/>
          <w:szCs w:val="22"/>
          <w:lang w:eastAsia="en-US"/>
        </w:rPr>
        <w:t xml:space="preserve">omentan werden seitens der Regierung entsprechende Ausbildungs- und Sensibilisierungsprogramme vorbereitet bzw. </w:t>
      </w:r>
      <w:r w:rsidR="00BA17CF">
        <w:rPr>
          <w:rFonts w:eastAsiaTheme="minorHAnsi" w:cs="Arial"/>
          <w:szCs w:val="22"/>
          <w:lang w:eastAsia="en-US"/>
        </w:rPr>
        <w:t xml:space="preserve">sind </w:t>
      </w:r>
      <w:r w:rsidR="00BA17CF" w:rsidRPr="002B720B">
        <w:rPr>
          <w:rFonts w:eastAsiaTheme="minorHAnsi" w:cs="Arial"/>
          <w:szCs w:val="22"/>
          <w:lang w:eastAsia="en-US"/>
        </w:rPr>
        <w:t>schon umgesetzt.</w:t>
      </w:r>
    </w:p>
    <w:p w:rsidR="009C07B4" w:rsidRPr="004E585C" w:rsidRDefault="00C93429" w:rsidP="009C07B4">
      <w:pPr>
        <w:autoSpaceDE w:val="0"/>
        <w:autoSpaceDN w:val="0"/>
        <w:adjustRightInd w:val="0"/>
        <w:spacing w:after="120"/>
        <w:jc w:val="both"/>
        <w:rPr>
          <w:rFonts w:eastAsiaTheme="minorHAnsi" w:cs="Arial"/>
          <w:szCs w:val="22"/>
          <w:lang w:eastAsia="en-US"/>
        </w:rPr>
      </w:pPr>
      <w:r w:rsidRPr="002B720B">
        <w:rPr>
          <w:rFonts w:eastAsiaTheme="minorHAnsi" w:cs="Arial"/>
          <w:szCs w:val="22"/>
          <w:lang w:eastAsia="en-US"/>
        </w:rPr>
        <w:t xml:space="preserve">Tatsächlich haben </w:t>
      </w:r>
      <w:r w:rsidRPr="004E585C">
        <w:rPr>
          <w:rFonts w:eastAsiaTheme="minorHAnsi" w:cs="Arial"/>
          <w:szCs w:val="22"/>
          <w:lang w:eastAsia="en-US"/>
        </w:rPr>
        <w:t>fast alle MENA</w:t>
      </w:r>
      <w:r w:rsidR="00CD6C39">
        <w:rPr>
          <w:rFonts w:eastAsiaTheme="minorHAnsi" w:cs="Arial"/>
          <w:szCs w:val="22"/>
          <w:lang w:eastAsia="en-US"/>
        </w:rPr>
        <w:t>-</w:t>
      </w:r>
      <w:r w:rsidRPr="004E585C">
        <w:rPr>
          <w:rFonts w:eastAsiaTheme="minorHAnsi" w:cs="Arial"/>
          <w:szCs w:val="22"/>
          <w:lang w:eastAsia="en-US"/>
        </w:rPr>
        <w:t>Länder in den letzten Jahren die politischen, institutione</w:t>
      </w:r>
      <w:r w:rsidRPr="004E585C">
        <w:rPr>
          <w:rFonts w:eastAsiaTheme="minorHAnsi" w:cs="Arial"/>
          <w:szCs w:val="22"/>
          <w:lang w:eastAsia="en-US"/>
        </w:rPr>
        <w:t>l</w:t>
      </w:r>
      <w:r w:rsidRPr="004E585C">
        <w:rPr>
          <w:rFonts w:eastAsiaTheme="minorHAnsi" w:cs="Arial"/>
          <w:szCs w:val="22"/>
          <w:lang w:eastAsia="en-US"/>
        </w:rPr>
        <w:t xml:space="preserve">len und rechtlich-regulatorischen Rahmenbedingungen für eine effektive Nutzung von RE und EE weiter verbessert. Dies gilt auch für die </w:t>
      </w:r>
      <w:r w:rsidRPr="00DD3EE4">
        <w:rPr>
          <w:rFonts w:eastAsiaTheme="minorHAnsi" w:cs="Arial"/>
          <w:szCs w:val="22"/>
          <w:lang w:eastAsia="en-US"/>
        </w:rPr>
        <w:t>3 Fokusländer von RE-ACTIVATE</w:t>
      </w:r>
      <w:r w:rsidRPr="004E585C">
        <w:rPr>
          <w:rFonts w:eastAsiaTheme="minorHAnsi" w:cs="Arial"/>
          <w:szCs w:val="22"/>
          <w:lang w:eastAsia="en-US"/>
        </w:rPr>
        <w:t>.</w:t>
      </w:r>
    </w:p>
    <w:p w:rsidR="009C07B4" w:rsidRPr="002B720B" w:rsidRDefault="00C93429" w:rsidP="009C07B4">
      <w:pPr>
        <w:autoSpaceDE w:val="0"/>
        <w:autoSpaceDN w:val="0"/>
        <w:adjustRightInd w:val="0"/>
        <w:spacing w:after="120"/>
        <w:jc w:val="both"/>
        <w:rPr>
          <w:rFonts w:eastAsia="Calibri" w:cs="Arial"/>
          <w:szCs w:val="22"/>
          <w:lang w:eastAsia="en-US"/>
        </w:rPr>
      </w:pPr>
      <w:r w:rsidRPr="002B720B">
        <w:rPr>
          <w:rFonts w:eastAsia="Calibri" w:cs="Arial"/>
          <w:szCs w:val="22"/>
          <w:lang w:eastAsia="en-US"/>
        </w:rPr>
        <w:t xml:space="preserve">Im Vorfeld der COP 21 in Paris verkündete </w:t>
      </w:r>
      <w:r w:rsidRPr="002B720B">
        <w:rPr>
          <w:rFonts w:eastAsia="Calibri" w:cs="Arial"/>
          <w:b/>
          <w:szCs w:val="22"/>
          <w:lang w:eastAsia="en-US"/>
        </w:rPr>
        <w:t>Marokko</w:t>
      </w:r>
      <w:r w:rsidRPr="002B720B">
        <w:rPr>
          <w:rFonts w:eastAsia="Calibri" w:cs="Arial"/>
          <w:szCs w:val="22"/>
          <w:lang w:eastAsia="en-US"/>
        </w:rPr>
        <w:t xml:space="preserve"> eine weitere Steigerung seiner schon jetzt ambitionierten Ausbauziele: von 42% der installierten Kapazität im Jahre 2020 (2 GW Sonne, 2 GW Wind, 2 GW Hydro) auf 52% im Jahre 2030 (4,5 GW Sonne, 4,3 GW Wind, 1,3 GW Hydro). </w:t>
      </w:r>
    </w:p>
    <w:p w:rsidR="009C07B4" w:rsidRPr="002B720B" w:rsidRDefault="00C93429" w:rsidP="009C07B4">
      <w:pPr>
        <w:autoSpaceDE w:val="0"/>
        <w:autoSpaceDN w:val="0"/>
        <w:adjustRightInd w:val="0"/>
        <w:spacing w:after="120"/>
        <w:jc w:val="both"/>
        <w:rPr>
          <w:rFonts w:eastAsia="Calibri" w:cs="Arial"/>
          <w:szCs w:val="22"/>
          <w:lang w:eastAsia="en-US"/>
        </w:rPr>
      </w:pPr>
      <w:r w:rsidRPr="002B720B">
        <w:rPr>
          <w:rFonts w:eastAsia="Calibri" w:cs="Arial"/>
          <w:szCs w:val="22"/>
          <w:lang w:eastAsia="en-US"/>
        </w:rPr>
        <w:t xml:space="preserve">Anfang 2016 ging bei Ouarzazate mit „Noor 1“ die derzeit größte CSP-Anlage der Welt ans Netz, die nächsten Tranchen „Noor 2-4“ befinden sich aktuell in der Ausschreibung bzw. in Vorbereitung. Eine Ausschreibung zur Erstellung eines 850 MW Windparks, die von einem Konsortium </w:t>
      </w:r>
      <w:r w:rsidR="00CD6C39">
        <w:rPr>
          <w:rFonts w:eastAsia="Calibri" w:cs="Arial"/>
          <w:szCs w:val="22"/>
          <w:lang w:eastAsia="en-US"/>
        </w:rPr>
        <w:t>der Firmen</w:t>
      </w:r>
      <w:r w:rsidR="00CD6C39" w:rsidRPr="002B720B">
        <w:rPr>
          <w:rFonts w:eastAsia="Calibri" w:cs="Arial"/>
          <w:szCs w:val="22"/>
          <w:lang w:eastAsia="en-US"/>
        </w:rPr>
        <w:t xml:space="preserve"> </w:t>
      </w:r>
      <w:r w:rsidRPr="002B720B">
        <w:rPr>
          <w:rFonts w:eastAsia="Calibri" w:cs="Arial"/>
          <w:szCs w:val="22"/>
          <w:lang w:eastAsia="en-US"/>
        </w:rPr>
        <w:t>Nareva, Siemens und Enel gewonnen wurde, umfasst zudem den Aufbau einer Fertigungsanlage für Rotorenblätter in Tanger, was den Anteil lokaler Wer</w:t>
      </w:r>
      <w:r w:rsidRPr="002B720B">
        <w:rPr>
          <w:rFonts w:eastAsia="Calibri" w:cs="Arial"/>
          <w:szCs w:val="22"/>
          <w:lang w:eastAsia="en-US"/>
        </w:rPr>
        <w:t>t</w:t>
      </w:r>
      <w:r w:rsidRPr="002B720B">
        <w:rPr>
          <w:rFonts w:eastAsia="Calibri" w:cs="Arial"/>
          <w:szCs w:val="22"/>
          <w:lang w:eastAsia="en-US"/>
        </w:rPr>
        <w:t>schöpfung erhöhen und neue Arbeitsplätze in der industriellen Fertigung wichtiger Komp</w:t>
      </w:r>
      <w:r w:rsidRPr="002B720B">
        <w:rPr>
          <w:rFonts w:eastAsia="Calibri" w:cs="Arial"/>
          <w:szCs w:val="22"/>
          <w:lang w:eastAsia="en-US"/>
        </w:rPr>
        <w:t>o</w:t>
      </w:r>
      <w:r w:rsidRPr="002B720B">
        <w:rPr>
          <w:rFonts w:eastAsia="Calibri" w:cs="Arial"/>
          <w:szCs w:val="22"/>
          <w:lang w:eastAsia="en-US"/>
        </w:rPr>
        <w:t>nenten schaffen wird.</w:t>
      </w:r>
    </w:p>
    <w:p w:rsidR="009C07B4" w:rsidRPr="002B720B" w:rsidRDefault="00C93429" w:rsidP="009C07B4">
      <w:pPr>
        <w:autoSpaceDE w:val="0"/>
        <w:autoSpaceDN w:val="0"/>
        <w:adjustRightInd w:val="0"/>
        <w:spacing w:after="120"/>
        <w:jc w:val="both"/>
        <w:rPr>
          <w:rFonts w:eastAsia="Calibri" w:cs="Arial"/>
          <w:szCs w:val="22"/>
          <w:lang w:eastAsia="en-US"/>
        </w:rPr>
      </w:pPr>
      <w:r w:rsidRPr="002B720B">
        <w:rPr>
          <w:rFonts w:eastAsia="Calibri" w:cs="Arial"/>
          <w:szCs w:val="22"/>
          <w:lang w:eastAsia="en-US"/>
        </w:rPr>
        <w:t xml:space="preserve">Die Bemühungen für eine Liberalisierung des Mittel- und Niederspannungsnetzes, das vor allem für dezentrale Anlagen relevant ist, </w:t>
      </w:r>
      <w:r w:rsidR="00CD6C39">
        <w:rPr>
          <w:rFonts w:eastAsia="Calibri" w:cs="Arial"/>
          <w:szCs w:val="22"/>
          <w:lang w:eastAsia="en-US"/>
        </w:rPr>
        <w:t>werden</w:t>
      </w:r>
      <w:r w:rsidR="00CD6C39" w:rsidRPr="002B720B">
        <w:rPr>
          <w:rFonts w:eastAsia="Calibri" w:cs="Arial"/>
          <w:szCs w:val="22"/>
          <w:lang w:eastAsia="en-US"/>
        </w:rPr>
        <w:t xml:space="preserve"> </w:t>
      </w:r>
      <w:r w:rsidRPr="002B720B">
        <w:rPr>
          <w:rFonts w:eastAsia="Calibri" w:cs="Arial"/>
          <w:szCs w:val="22"/>
          <w:lang w:eastAsia="en-US"/>
        </w:rPr>
        <w:t xml:space="preserve">von Seiten der Regierung weitergeführt. </w:t>
      </w:r>
    </w:p>
    <w:p w:rsidR="009C07B4" w:rsidRPr="002B720B" w:rsidRDefault="00C93429" w:rsidP="009C07B4">
      <w:pPr>
        <w:autoSpaceDE w:val="0"/>
        <w:autoSpaceDN w:val="0"/>
        <w:adjustRightInd w:val="0"/>
        <w:spacing w:after="120"/>
        <w:jc w:val="both"/>
        <w:rPr>
          <w:rFonts w:cs="Arial"/>
          <w:szCs w:val="22"/>
        </w:rPr>
      </w:pPr>
      <w:r w:rsidRPr="002B720B">
        <w:rPr>
          <w:rFonts w:eastAsiaTheme="minorHAnsi" w:cs="Arial"/>
          <w:szCs w:val="22"/>
          <w:lang w:eastAsia="en-US"/>
        </w:rPr>
        <w:t>Im Rahmen ihrer EE-Strategie will die Regierung bis 2020 12% und bis 2030 15-20% Ene</w:t>
      </w:r>
      <w:r w:rsidRPr="002B720B">
        <w:rPr>
          <w:rFonts w:eastAsiaTheme="minorHAnsi" w:cs="Arial"/>
          <w:szCs w:val="22"/>
          <w:lang w:eastAsia="en-US"/>
        </w:rPr>
        <w:t>r</w:t>
      </w:r>
      <w:r w:rsidRPr="002B720B">
        <w:rPr>
          <w:rFonts w:eastAsiaTheme="minorHAnsi" w:cs="Arial"/>
          <w:szCs w:val="22"/>
          <w:lang w:eastAsia="en-US"/>
        </w:rPr>
        <w:t xml:space="preserve">gie gegenüber einem Basisszenario einsparen. </w:t>
      </w:r>
    </w:p>
    <w:p w:rsidR="009C07B4" w:rsidRPr="002B720B" w:rsidRDefault="00C93429" w:rsidP="009C07B4">
      <w:pPr>
        <w:autoSpaceDE w:val="0"/>
        <w:autoSpaceDN w:val="0"/>
        <w:adjustRightInd w:val="0"/>
        <w:spacing w:after="120"/>
        <w:jc w:val="both"/>
        <w:rPr>
          <w:rFonts w:eastAsia="Calibri" w:cs="Arial"/>
          <w:szCs w:val="22"/>
          <w:lang w:eastAsia="en-US"/>
        </w:rPr>
      </w:pPr>
      <w:r w:rsidRPr="002B720B">
        <w:rPr>
          <w:rFonts w:eastAsia="Calibri" w:cs="Arial"/>
          <w:szCs w:val="22"/>
          <w:lang w:eastAsia="en-US"/>
        </w:rPr>
        <w:t xml:space="preserve">Auch </w:t>
      </w:r>
      <w:r w:rsidRPr="002B720B">
        <w:rPr>
          <w:rFonts w:eastAsia="Calibri" w:cs="Arial"/>
          <w:b/>
          <w:szCs w:val="22"/>
          <w:lang w:eastAsia="en-US"/>
        </w:rPr>
        <w:t>Tunesien</w:t>
      </w:r>
      <w:r w:rsidRPr="002B720B">
        <w:rPr>
          <w:rFonts w:eastAsia="Calibri" w:cs="Arial"/>
          <w:szCs w:val="22"/>
          <w:lang w:eastAsia="en-US"/>
        </w:rPr>
        <w:t xml:space="preserve"> nutzte die COP 21, um im Vorfeld in einem intensiven und partizipativen Prozess detaillierte und ehrgeizige INDC zu entwickeln, welche die nationalen Ziele in den Bereichen RE/EE wiederspiegeln und international absichern. Laut ihrer neuen Energiestr</w:t>
      </w:r>
      <w:r w:rsidRPr="002B720B">
        <w:rPr>
          <w:rFonts w:eastAsia="Calibri" w:cs="Arial"/>
          <w:szCs w:val="22"/>
          <w:lang w:eastAsia="en-US"/>
        </w:rPr>
        <w:t>a</w:t>
      </w:r>
      <w:r w:rsidRPr="002B720B">
        <w:rPr>
          <w:rFonts w:eastAsia="Calibri" w:cs="Arial"/>
          <w:szCs w:val="22"/>
          <w:lang w:eastAsia="en-US"/>
        </w:rPr>
        <w:t xml:space="preserve">tegie </w:t>
      </w:r>
      <w:r w:rsidRPr="002B720B">
        <w:rPr>
          <w:rFonts w:cs="Arial"/>
          <w:szCs w:val="22"/>
        </w:rPr>
        <w:t xml:space="preserve">will die Regierung bis 2030 30% des Energieverbrauchs durch RE decken, was nach aktueller Planung den Zubau von 3,8 GW neuer Kapazität erfordert. </w:t>
      </w:r>
      <w:r w:rsidRPr="002B720B">
        <w:rPr>
          <w:rFonts w:eastAsia="Calibri" w:cs="Arial"/>
          <w:szCs w:val="22"/>
          <w:lang w:eastAsia="en-US"/>
        </w:rPr>
        <w:t xml:space="preserve">Außerdem soll </w:t>
      </w:r>
      <w:r w:rsidRPr="002B720B">
        <w:rPr>
          <w:rFonts w:eastAsiaTheme="minorHAnsi" w:cs="Arial"/>
          <w:szCs w:val="22"/>
          <w:lang w:eastAsia="en-US"/>
        </w:rPr>
        <w:t xml:space="preserve">bis 2030 der Primärenergieverbrauch um 30 % im Vergleich zum </w:t>
      </w:r>
      <w:r w:rsidR="006129A7" w:rsidRPr="002B720B">
        <w:rPr>
          <w:rFonts w:eastAsiaTheme="minorHAnsi" w:cs="Arial"/>
          <w:szCs w:val="22"/>
          <w:lang w:eastAsia="en-US"/>
        </w:rPr>
        <w:t>Basis</w:t>
      </w:r>
      <w:r w:rsidR="006129A7">
        <w:rPr>
          <w:rFonts w:eastAsiaTheme="minorHAnsi" w:cs="Arial"/>
          <w:szCs w:val="22"/>
          <w:lang w:eastAsia="en-US"/>
        </w:rPr>
        <w:t>s</w:t>
      </w:r>
      <w:r w:rsidR="006129A7" w:rsidRPr="002B720B">
        <w:rPr>
          <w:rFonts w:eastAsiaTheme="minorHAnsi" w:cs="Arial"/>
          <w:szCs w:val="22"/>
          <w:lang w:eastAsia="en-US"/>
        </w:rPr>
        <w:t>zen</w:t>
      </w:r>
      <w:r w:rsidR="006129A7">
        <w:rPr>
          <w:rFonts w:eastAsiaTheme="minorHAnsi" w:cs="Arial"/>
          <w:szCs w:val="22"/>
          <w:lang w:eastAsia="en-US"/>
        </w:rPr>
        <w:t>a</w:t>
      </w:r>
      <w:r w:rsidR="006129A7" w:rsidRPr="002B720B">
        <w:rPr>
          <w:rFonts w:eastAsiaTheme="minorHAnsi" w:cs="Arial"/>
          <w:szCs w:val="22"/>
          <w:lang w:eastAsia="en-US"/>
        </w:rPr>
        <w:t>rio</w:t>
      </w:r>
      <w:r w:rsidRPr="002B720B">
        <w:rPr>
          <w:rFonts w:eastAsiaTheme="minorHAnsi" w:cs="Arial"/>
          <w:szCs w:val="22"/>
          <w:lang w:eastAsia="en-US"/>
        </w:rPr>
        <w:t xml:space="preserve"> reduziert werden</w:t>
      </w:r>
      <w:r w:rsidR="00BA17CF">
        <w:rPr>
          <w:rFonts w:eastAsiaTheme="minorHAnsi" w:cs="Arial"/>
          <w:szCs w:val="22"/>
          <w:lang w:eastAsia="en-US"/>
        </w:rPr>
        <w:t>.</w:t>
      </w:r>
    </w:p>
    <w:p w:rsidR="009C07B4" w:rsidRPr="002B720B" w:rsidRDefault="00C93429" w:rsidP="009C07B4">
      <w:pPr>
        <w:autoSpaceDE w:val="0"/>
        <w:autoSpaceDN w:val="0"/>
        <w:adjustRightInd w:val="0"/>
        <w:spacing w:after="120"/>
        <w:jc w:val="both"/>
        <w:rPr>
          <w:rFonts w:eastAsia="Calibri" w:cs="Arial"/>
          <w:szCs w:val="22"/>
          <w:lang w:eastAsia="en-US"/>
        </w:rPr>
      </w:pPr>
      <w:r w:rsidRPr="002B720B">
        <w:rPr>
          <w:rFonts w:eastAsia="Calibri" w:cs="Arial"/>
          <w:szCs w:val="22"/>
          <w:lang w:eastAsia="en-US"/>
        </w:rPr>
        <w:t>Das neue Gesetz zu Erneuerbaren Energien (</w:t>
      </w:r>
      <w:r w:rsidRPr="00051A30">
        <w:rPr>
          <w:rFonts w:eastAsia="Calibri" w:cs="Arial"/>
          <w:i/>
          <w:szCs w:val="22"/>
          <w:lang w:eastAsia="en-US"/>
        </w:rPr>
        <w:t>Loi</w:t>
      </w:r>
      <w:r w:rsidRPr="002B720B">
        <w:rPr>
          <w:rFonts w:eastAsia="Calibri" w:cs="Arial"/>
          <w:szCs w:val="22"/>
          <w:lang w:eastAsia="en-US"/>
        </w:rPr>
        <w:t xml:space="preserve"> 12/2015), welches auch größere Anlagen durch private Investitionen ermöglichen soll (bis zu voraussichtlich 10 MW für PV und 30 MW für Wind), trat im Mai 2015 in Kraft (nachdem eine umfassende und durchaus modellhafte Befragung der Öffentlichkeit stattgefunden hatte)</w:t>
      </w:r>
      <w:r w:rsidR="00CD6C39">
        <w:rPr>
          <w:rFonts w:eastAsia="Calibri" w:cs="Arial"/>
          <w:szCs w:val="22"/>
          <w:lang w:eastAsia="en-US"/>
        </w:rPr>
        <w:t>.</w:t>
      </w:r>
      <w:r w:rsidRPr="002B720B">
        <w:rPr>
          <w:rFonts w:eastAsia="Calibri" w:cs="Arial"/>
          <w:szCs w:val="22"/>
          <w:lang w:eastAsia="en-US"/>
        </w:rPr>
        <w:t xml:space="preserve"> Das Energieministerium konnte </w:t>
      </w:r>
      <w:r w:rsidR="00BA17CF">
        <w:rPr>
          <w:rFonts w:eastAsia="Calibri" w:cs="Arial"/>
          <w:szCs w:val="22"/>
          <w:lang w:eastAsia="en-US"/>
        </w:rPr>
        <w:t xml:space="preserve">jedoch </w:t>
      </w:r>
      <w:r w:rsidRPr="002B720B">
        <w:rPr>
          <w:rFonts w:eastAsia="Calibri" w:cs="Arial"/>
          <w:szCs w:val="22"/>
          <w:lang w:eastAsia="en-US"/>
        </w:rPr>
        <w:t>noch keine tragfähige Lösung mit den beteiligten Akteuren finden, und vor allem der staatl</w:t>
      </w:r>
      <w:r w:rsidRPr="002B720B">
        <w:rPr>
          <w:rFonts w:eastAsia="Calibri" w:cs="Arial"/>
          <w:szCs w:val="22"/>
          <w:lang w:eastAsia="en-US"/>
        </w:rPr>
        <w:t>i</w:t>
      </w:r>
      <w:r w:rsidRPr="002B720B">
        <w:rPr>
          <w:rFonts w:eastAsia="Calibri" w:cs="Arial"/>
          <w:szCs w:val="22"/>
          <w:lang w:eastAsia="en-US"/>
        </w:rPr>
        <w:t>che Energieversorger STEG mit seiner umfassenden Monopolposition spielt weiterhin eine bremsende Rolle.</w:t>
      </w:r>
    </w:p>
    <w:p w:rsidR="009C07B4" w:rsidRPr="002B720B" w:rsidRDefault="00C93429" w:rsidP="009C07B4">
      <w:pPr>
        <w:spacing w:after="120"/>
        <w:jc w:val="both"/>
        <w:rPr>
          <w:rFonts w:eastAsia="Calibri" w:cs="Arial"/>
          <w:szCs w:val="22"/>
          <w:lang w:eastAsia="en-US"/>
        </w:rPr>
      </w:pPr>
      <w:r w:rsidRPr="002B720B">
        <w:rPr>
          <w:rFonts w:eastAsia="Calibri" w:cs="Arial"/>
          <w:szCs w:val="22"/>
          <w:lang w:eastAsia="en-US"/>
        </w:rPr>
        <w:t xml:space="preserve">In </w:t>
      </w:r>
      <w:r w:rsidRPr="002B720B">
        <w:rPr>
          <w:rFonts w:eastAsia="Calibri" w:cs="Arial"/>
          <w:b/>
          <w:szCs w:val="22"/>
          <w:lang w:eastAsia="en-US"/>
        </w:rPr>
        <w:t>Ägypten</w:t>
      </w:r>
      <w:r w:rsidRPr="002B720B">
        <w:rPr>
          <w:rFonts w:eastAsia="Calibri" w:cs="Arial"/>
          <w:szCs w:val="22"/>
          <w:lang w:eastAsia="en-US"/>
        </w:rPr>
        <w:t xml:space="preserve"> </w:t>
      </w:r>
      <w:r w:rsidRPr="002B720B">
        <w:rPr>
          <w:rFonts w:eastAsiaTheme="minorHAnsi" w:cs="Arial"/>
          <w:szCs w:val="22"/>
          <w:lang w:eastAsia="en-US"/>
        </w:rPr>
        <w:t xml:space="preserve">ist es im Zuge des neuen Gesetzes zur </w:t>
      </w:r>
      <w:r w:rsidRPr="002B720B">
        <w:t>Stromerzeugung aus erneuerbaren Energien</w:t>
      </w:r>
      <w:r w:rsidRPr="002B720B">
        <w:rPr>
          <w:rFonts w:eastAsiaTheme="minorHAnsi" w:cs="Arial"/>
          <w:szCs w:val="22"/>
          <w:lang w:eastAsia="en-US"/>
        </w:rPr>
        <w:t xml:space="preserve"> </w:t>
      </w:r>
      <w:r w:rsidRPr="002B720B">
        <w:rPr>
          <w:rFonts w:cs="Arial"/>
          <w:szCs w:val="22"/>
        </w:rPr>
        <w:t>(</w:t>
      </w:r>
      <w:r w:rsidRPr="00051A30">
        <w:rPr>
          <w:rFonts w:cs="Arial"/>
          <w:i/>
          <w:szCs w:val="22"/>
        </w:rPr>
        <w:t>Law</w:t>
      </w:r>
      <w:r w:rsidRPr="002B720B">
        <w:rPr>
          <w:rFonts w:cs="Arial"/>
          <w:szCs w:val="22"/>
        </w:rPr>
        <w:t xml:space="preserve"> 203/2014) sowie der in diesem Kontext beschlossenen großzügigen Einspe</w:t>
      </w:r>
      <w:r w:rsidRPr="002B720B">
        <w:rPr>
          <w:rFonts w:cs="Arial"/>
          <w:szCs w:val="22"/>
        </w:rPr>
        <w:t>i</w:t>
      </w:r>
      <w:r w:rsidRPr="002B720B">
        <w:rPr>
          <w:rFonts w:cs="Arial"/>
          <w:szCs w:val="22"/>
        </w:rPr>
        <w:t>setarife (</w:t>
      </w:r>
      <w:r w:rsidRPr="00051A30">
        <w:rPr>
          <w:rFonts w:cs="Arial"/>
          <w:i/>
          <w:szCs w:val="22"/>
        </w:rPr>
        <w:t>Decree</w:t>
      </w:r>
      <w:r w:rsidRPr="002B720B">
        <w:rPr>
          <w:rFonts w:cs="Arial"/>
          <w:szCs w:val="22"/>
        </w:rPr>
        <w:t xml:space="preserve"> 1947/2014) zu einer erheblichen Mobilisierung der privaten Wirtschaft g</w:t>
      </w:r>
      <w:r w:rsidRPr="002B720B">
        <w:rPr>
          <w:rFonts w:cs="Arial"/>
          <w:szCs w:val="22"/>
        </w:rPr>
        <w:t>e</w:t>
      </w:r>
      <w:r w:rsidRPr="002B720B">
        <w:rPr>
          <w:rFonts w:cs="Arial"/>
          <w:szCs w:val="22"/>
        </w:rPr>
        <w:t xml:space="preserve">kommen. Die ägyptische </w:t>
      </w:r>
      <w:r w:rsidRPr="002B720B">
        <w:rPr>
          <w:rFonts w:eastAsia="Calibri" w:cs="Arial"/>
          <w:szCs w:val="22"/>
          <w:lang w:eastAsia="en-US"/>
        </w:rPr>
        <w:t xml:space="preserve">Energiestrategie sieht vor, bis 2022 20% der Stromerzeugung aus erneuerbaren Quellen zu bestreiten, was insgesamt knapp 13 GW an installierter Kapazität erfordern würde (7,11 </w:t>
      </w:r>
      <w:r w:rsidR="002B1B77">
        <w:rPr>
          <w:rFonts w:eastAsia="Calibri" w:cs="Arial"/>
          <w:szCs w:val="22"/>
          <w:lang w:eastAsia="en-US"/>
        </w:rPr>
        <w:t>G</w:t>
      </w:r>
      <w:r w:rsidRPr="002B720B">
        <w:rPr>
          <w:rFonts w:eastAsia="Calibri" w:cs="Arial"/>
          <w:szCs w:val="22"/>
          <w:lang w:eastAsia="en-US"/>
        </w:rPr>
        <w:t xml:space="preserve">W durch Wind, 2,87 </w:t>
      </w:r>
      <w:r w:rsidR="002B1B77">
        <w:rPr>
          <w:rFonts w:eastAsia="Calibri" w:cs="Arial"/>
          <w:szCs w:val="22"/>
          <w:lang w:eastAsia="en-US"/>
        </w:rPr>
        <w:t>G</w:t>
      </w:r>
      <w:r w:rsidRPr="002B720B">
        <w:rPr>
          <w:rFonts w:eastAsia="Calibri" w:cs="Arial"/>
          <w:szCs w:val="22"/>
          <w:lang w:eastAsia="en-US"/>
        </w:rPr>
        <w:t xml:space="preserve">W durch Solar, 2,8 </w:t>
      </w:r>
      <w:r w:rsidR="002B1B77">
        <w:rPr>
          <w:rFonts w:eastAsia="Calibri" w:cs="Arial"/>
          <w:szCs w:val="22"/>
          <w:lang w:eastAsia="en-US"/>
        </w:rPr>
        <w:t>G</w:t>
      </w:r>
      <w:r w:rsidRPr="002B720B">
        <w:rPr>
          <w:rFonts w:eastAsia="Calibri" w:cs="Arial"/>
          <w:szCs w:val="22"/>
          <w:lang w:eastAsia="en-US"/>
        </w:rPr>
        <w:t>W durch Wasser). Dies soll mit einer weiteren Öffnung des immer noch staatlich dominierten Sektors sowie mit einer neuen Arbeitsteilung zwischen Staat und Privatwirtschaft einhergehen. Nur ein Drittel des e</w:t>
      </w:r>
      <w:r w:rsidRPr="002B720B">
        <w:rPr>
          <w:rFonts w:eastAsia="Calibri" w:cs="Arial"/>
          <w:szCs w:val="22"/>
          <w:lang w:eastAsia="en-US"/>
        </w:rPr>
        <w:t>r</w:t>
      </w:r>
      <w:r w:rsidRPr="002B720B">
        <w:rPr>
          <w:rFonts w:eastAsia="Calibri" w:cs="Arial"/>
          <w:szCs w:val="22"/>
          <w:lang w:eastAsia="en-US"/>
        </w:rPr>
        <w:t>forderlichen Kapazitätszubaus soll durch ersteren realisiert werden, aber zwei Drittel durch letztere. Langfristig, bis 2050, soll der RE-Anteil auf insgesamt 50% anwachsen.</w:t>
      </w:r>
    </w:p>
    <w:p w:rsidR="009C07B4" w:rsidRPr="002B720B" w:rsidRDefault="00C93429" w:rsidP="009C07B4">
      <w:pPr>
        <w:spacing w:after="120"/>
        <w:jc w:val="both"/>
        <w:rPr>
          <w:rFonts w:eastAsia="Calibri" w:cs="Arial"/>
          <w:szCs w:val="22"/>
          <w:lang w:eastAsia="en-US"/>
        </w:rPr>
      </w:pPr>
      <w:r w:rsidRPr="002B720B">
        <w:rPr>
          <w:rFonts w:eastAsia="Calibri" w:cs="Arial"/>
          <w:szCs w:val="22"/>
          <w:lang w:eastAsia="en-US"/>
        </w:rPr>
        <w:t>Die Reaktion von Investoren und Entwicklern war entsprechend: Die erste Ausschreibung</w:t>
      </w:r>
      <w:r w:rsidRPr="002B720B">
        <w:rPr>
          <w:rFonts w:eastAsia="Calibri" w:cs="Arial"/>
          <w:szCs w:val="22"/>
          <w:lang w:eastAsia="en-US"/>
        </w:rPr>
        <w:t>s</w:t>
      </w:r>
      <w:r w:rsidRPr="002B720B">
        <w:rPr>
          <w:rFonts w:eastAsia="Calibri" w:cs="Arial"/>
          <w:szCs w:val="22"/>
          <w:lang w:eastAsia="en-US"/>
        </w:rPr>
        <w:t xml:space="preserve">runde über jeweils 2 GW für Wind und Solar auf der Grundlage der neuen Regelungen war mehrfach überzeichnet, mit über 10 GW für Solar und knapp 4 GW für Wind. </w:t>
      </w:r>
    </w:p>
    <w:p w:rsidR="009C07B4" w:rsidRPr="002B720B" w:rsidRDefault="00C93429" w:rsidP="009C07B4">
      <w:pPr>
        <w:spacing w:after="120"/>
        <w:jc w:val="both"/>
        <w:rPr>
          <w:rFonts w:eastAsia="Calibri" w:cs="Arial"/>
          <w:szCs w:val="22"/>
          <w:lang w:eastAsia="en-US"/>
        </w:rPr>
      </w:pPr>
      <w:r w:rsidRPr="002B720B">
        <w:rPr>
          <w:rFonts w:cs="Arial"/>
          <w:szCs w:val="22"/>
        </w:rPr>
        <w:t>Hervorzuheben ist in diesem Zusammenhang auch das Abkommen Ägyptens mit Siemens über den Bau von Gas- und Win</w:t>
      </w:r>
      <w:r w:rsidR="002A1483">
        <w:rPr>
          <w:rFonts w:cs="Arial"/>
          <w:szCs w:val="22"/>
        </w:rPr>
        <w:t>dkraftwerken mit einem Gesamtwer</w:t>
      </w:r>
      <w:r w:rsidRPr="002B720B">
        <w:rPr>
          <w:rFonts w:cs="Arial"/>
          <w:szCs w:val="22"/>
        </w:rPr>
        <w:t>t von 8 Mrd. Euro, dem größten in der Geschichte des Unternehmens. Hierzu gehört auch der Bau eines 2 GW Windparks inklusive lokaler Fertigung der Rotoren und Schaffung von 1</w:t>
      </w:r>
      <w:r w:rsidR="002D652C">
        <w:rPr>
          <w:rFonts w:cs="Arial"/>
          <w:szCs w:val="22"/>
        </w:rPr>
        <w:t>.</w:t>
      </w:r>
      <w:r w:rsidRPr="002B720B">
        <w:rPr>
          <w:rFonts w:cs="Arial"/>
          <w:szCs w:val="22"/>
        </w:rPr>
        <w:t>000 Arbeitsplätzen.</w:t>
      </w:r>
    </w:p>
    <w:p w:rsidR="009C07B4" w:rsidRPr="002B720B" w:rsidRDefault="00C93429" w:rsidP="009C07B4">
      <w:pPr>
        <w:spacing w:after="120"/>
        <w:jc w:val="both"/>
        <w:rPr>
          <w:rFonts w:eastAsia="Calibri" w:cs="Arial"/>
          <w:szCs w:val="22"/>
          <w:lang w:eastAsia="en-US"/>
        </w:rPr>
      </w:pPr>
      <w:r w:rsidRPr="002B720B">
        <w:rPr>
          <w:rFonts w:eastAsia="Calibri" w:cs="Arial"/>
          <w:szCs w:val="22"/>
          <w:lang w:eastAsia="en-US"/>
        </w:rPr>
        <w:t>Energieeffizienz spielt in diesem Kontext eine wachsende Rolle: Das neue Stromgesetz en</w:t>
      </w:r>
      <w:r w:rsidRPr="002B720B">
        <w:rPr>
          <w:rFonts w:eastAsia="Calibri" w:cs="Arial"/>
          <w:szCs w:val="22"/>
          <w:lang w:eastAsia="en-US"/>
        </w:rPr>
        <w:t>t</w:t>
      </w:r>
      <w:r w:rsidRPr="002B720B">
        <w:rPr>
          <w:rFonts w:eastAsia="Calibri" w:cs="Arial"/>
          <w:szCs w:val="22"/>
          <w:lang w:eastAsia="en-US"/>
        </w:rPr>
        <w:t xml:space="preserve">hält </w:t>
      </w:r>
      <w:r w:rsidR="002D652C">
        <w:rPr>
          <w:rFonts w:eastAsia="Calibri" w:cs="Arial"/>
          <w:szCs w:val="22"/>
          <w:lang w:eastAsia="en-US"/>
        </w:rPr>
        <w:t xml:space="preserve">diesbezüglich </w:t>
      </w:r>
      <w:r w:rsidRPr="002B720B">
        <w:rPr>
          <w:rFonts w:eastAsia="Calibri" w:cs="Arial"/>
          <w:szCs w:val="22"/>
          <w:lang w:eastAsia="en-US"/>
        </w:rPr>
        <w:t>einige wichtige Neuerungen, w</w:t>
      </w:r>
      <w:r w:rsidR="002A1483">
        <w:rPr>
          <w:rFonts w:eastAsia="Calibri" w:cs="Arial"/>
          <w:szCs w:val="22"/>
          <w:lang w:eastAsia="en-US"/>
        </w:rPr>
        <w:t xml:space="preserve">ie etwa die Ausweitung von </w:t>
      </w:r>
      <w:r w:rsidR="002A1483" w:rsidRPr="002A1483">
        <w:rPr>
          <w:rFonts w:eastAsia="Calibri" w:cs="Arial"/>
          <w:i/>
          <w:szCs w:val="22"/>
          <w:lang w:eastAsia="en-US"/>
        </w:rPr>
        <w:t>Labe</w:t>
      </w:r>
      <w:r w:rsidRPr="002A1483">
        <w:rPr>
          <w:rFonts w:eastAsia="Calibri" w:cs="Arial"/>
          <w:i/>
          <w:szCs w:val="22"/>
          <w:lang w:eastAsia="en-US"/>
        </w:rPr>
        <w:t>ling</w:t>
      </w:r>
      <w:r w:rsidRPr="002B720B">
        <w:rPr>
          <w:rFonts w:eastAsia="Calibri" w:cs="Arial"/>
          <w:szCs w:val="22"/>
          <w:lang w:eastAsia="en-US"/>
        </w:rPr>
        <w:t>-Programmen im Industrie- und Dienstleistungsbereich sowie für Privathaushalte und Ko</w:t>
      </w:r>
      <w:r w:rsidRPr="002B720B">
        <w:rPr>
          <w:rFonts w:eastAsia="Calibri" w:cs="Arial"/>
          <w:szCs w:val="22"/>
          <w:lang w:eastAsia="en-US"/>
        </w:rPr>
        <w:t>n</w:t>
      </w:r>
      <w:r w:rsidRPr="002B720B">
        <w:rPr>
          <w:rFonts w:eastAsia="Calibri" w:cs="Arial"/>
          <w:szCs w:val="22"/>
          <w:lang w:eastAsia="en-US"/>
        </w:rPr>
        <w:t xml:space="preserve">sumgüter. </w:t>
      </w:r>
    </w:p>
    <w:p w:rsidR="009C07B4" w:rsidRPr="002B720B" w:rsidRDefault="00C93429">
      <w:pPr>
        <w:autoSpaceDE w:val="0"/>
        <w:autoSpaceDN w:val="0"/>
        <w:adjustRightInd w:val="0"/>
        <w:spacing w:after="120"/>
        <w:jc w:val="both"/>
        <w:rPr>
          <w:rFonts w:cs="Arial"/>
          <w:szCs w:val="22"/>
        </w:rPr>
      </w:pPr>
      <w:r w:rsidRPr="002B720B">
        <w:rPr>
          <w:rFonts w:eastAsiaTheme="minorHAnsi" w:cs="Arial"/>
          <w:szCs w:val="22"/>
          <w:lang w:eastAsia="en-US"/>
        </w:rPr>
        <w:t xml:space="preserve">Ein entscheidender Faktor für die weitere Entwicklung nachhaltiger Energien in MENA ist die Reform der extrem hohen Subventionen für fossile Energien. In </w:t>
      </w:r>
      <w:r w:rsidR="002D652C">
        <w:rPr>
          <w:rFonts w:eastAsiaTheme="minorHAnsi" w:cs="Arial"/>
          <w:szCs w:val="22"/>
          <w:lang w:eastAsia="en-US"/>
        </w:rPr>
        <w:t>den drei</w:t>
      </w:r>
      <w:r w:rsidRPr="002B720B">
        <w:rPr>
          <w:rFonts w:eastAsiaTheme="minorHAnsi" w:cs="Arial"/>
          <w:szCs w:val="22"/>
          <w:lang w:eastAsia="en-US"/>
        </w:rPr>
        <w:t xml:space="preserve"> Fokusländern von RE-ACTIVATE ist der </w:t>
      </w:r>
      <w:r w:rsidRPr="002B720B">
        <w:rPr>
          <w:rFonts w:cs="Arial"/>
          <w:szCs w:val="22"/>
        </w:rPr>
        <w:t>starke Anstieg der Energieimporte Hauptursache des L</w:t>
      </w:r>
      <w:r w:rsidRPr="002B720B">
        <w:rPr>
          <w:rFonts w:eastAsiaTheme="minorHAnsi" w:cs="Arial"/>
          <w:szCs w:val="22"/>
          <w:lang w:eastAsia="en-US"/>
        </w:rPr>
        <w:t>eistungsbilan</w:t>
      </w:r>
      <w:r w:rsidRPr="002B720B">
        <w:rPr>
          <w:rFonts w:eastAsiaTheme="minorHAnsi" w:cs="Arial"/>
          <w:szCs w:val="22"/>
          <w:lang w:eastAsia="en-US"/>
        </w:rPr>
        <w:t>z</w:t>
      </w:r>
      <w:r w:rsidRPr="002B720B">
        <w:rPr>
          <w:rFonts w:eastAsiaTheme="minorHAnsi" w:cs="Arial"/>
          <w:szCs w:val="22"/>
          <w:lang w:eastAsia="en-US"/>
        </w:rPr>
        <w:t>defizits; die staatlichen Versorger sind überschuldet und strukturell bankrott, was die intern</w:t>
      </w:r>
      <w:r w:rsidRPr="002B720B">
        <w:rPr>
          <w:rFonts w:eastAsiaTheme="minorHAnsi" w:cs="Arial"/>
          <w:szCs w:val="22"/>
          <w:lang w:eastAsia="en-US"/>
        </w:rPr>
        <w:t>a</w:t>
      </w:r>
      <w:r w:rsidRPr="002B720B">
        <w:rPr>
          <w:rFonts w:eastAsiaTheme="minorHAnsi" w:cs="Arial"/>
          <w:szCs w:val="22"/>
          <w:lang w:eastAsia="en-US"/>
        </w:rPr>
        <w:t>tionale Kreditaufnahme für die dringend nötige Modernisierung und Erweiterung der Erze</w:t>
      </w:r>
      <w:r w:rsidRPr="002B720B">
        <w:rPr>
          <w:rFonts w:eastAsiaTheme="minorHAnsi" w:cs="Arial"/>
          <w:szCs w:val="22"/>
          <w:lang w:eastAsia="en-US"/>
        </w:rPr>
        <w:t>u</w:t>
      </w:r>
      <w:r w:rsidRPr="002B720B">
        <w:rPr>
          <w:rFonts w:eastAsiaTheme="minorHAnsi" w:cs="Arial"/>
          <w:szCs w:val="22"/>
          <w:lang w:eastAsia="en-US"/>
        </w:rPr>
        <w:t>gungs- und Übertragungsinfrastruktur stark erschwert</w:t>
      </w:r>
      <w:r w:rsidR="002A1483">
        <w:rPr>
          <w:rFonts w:eastAsiaTheme="minorHAnsi" w:cs="Arial"/>
          <w:szCs w:val="22"/>
          <w:lang w:eastAsia="en-US"/>
        </w:rPr>
        <w:t>.</w:t>
      </w:r>
    </w:p>
    <w:p w:rsidR="009C07B4" w:rsidRPr="002B720B" w:rsidRDefault="00C93429" w:rsidP="009C07B4">
      <w:pPr>
        <w:pStyle w:val="berschrift2"/>
        <w:jc w:val="both"/>
        <w:rPr>
          <w:b/>
          <w:i/>
        </w:rPr>
      </w:pPr>
      <w:bookmarkStart w:id="4" w:name="_Toc460339703"/>
      <w:r w:rsidRPr="002B720B">
        <w:rPr>
          <w:b/>
          <w:i/>
        </w:rPr>
        <w:t>A.2.2</w:t>
      </w:r>
      <w:r w:rsidRPr="002B720B">
        <w:rPr>
          <w:b/>
          <w:i/>
        </w:rPr>
        <w:tab/>
        <w:t>Entwicklungen bei wichtigen Akteuren, Entscheidungsträgern und Trägerinst</w:t>
      </w:r>
      <w:r w:rsidRPr="002B720B">
        <w:rPr>
          <w:b/>
          <w:i/>
        </w:rPr>
        <w:t>i</w:t>
      </w:r>
      <w:r w:rsidRPr="002B720B">
        <w:rPr>
          <w:b/>
          <w:i/>
        </w:rPr>
        <w:t>tutionen des Kooperationslandes</w:t>
      </w:r>
      <w:bookmarkEnd w:id="4"/>
    </w:p>
    <w:p w:rsidR="009C07B4" w:rsidRPr="002B720B" w:rsidRDefault="00C93429" w:rsidP="009C07B4">
      <w:pPr>
        <w:autoSpaceDE w:val="0"/>
        <w:autoSpaceDN w:val="0"/>
        <w:adjustRightInd w:val="0"/>
        <w:spacing w:after="120"/>
        <w:jc w:val="both"/>
        <w:rPr>
          <w:rFonts w:cs="Arial"/>
          <w:szCs w:val="22"/>
        </w:rPr>
      </w:pPr>
      <w:r w:rsidRPr="002B720B">
        <w:rPr>
          <w:rFonts w:cs="Arial"/>
          <w:noProof/>
          <w:szCs w:val="22"/>
        </w:rPr>
        <w:t xml:space="preserve">In </w:t>
      </w:r>
      <w:r w:rsidRPr="002B720B">
        <w:rPr>
          <w:rFonts w:cs="Arial"/>
          <w:b/>
          <w:noProof/>
          <w:szCs w:val="22"/>
        </w:rPr>
        <w:t>Marokko</w:t>
      </w:r>
      <w:r w:rsidRPr="002B720B">
        <w:rPr>
          <w:rFonts w:cs="Arial"/>
          <w:noProof/>
          <w:szCs w:val="22"/>
        </w:rPr>
        <w:t xml:space="preserve"> kam es im Berichtszeitraum in den projektrelevanten Institutionen zu keinen wichtigen Neuerungen</w:t>
      </w:r>
      <w:r w:rsidR="002D652C">
        <w:rPr>
          <w:rFonts w:cs="Arial"/>
          <w:noProof/>
          <w:szCs w:val="22"/>
        </w:rPr>
        <w:t>.</w:t>
      </w:r>
      <w:r w:rsidRPr="002B720B">
        <w:rPr>
          <w:rFonts w:cs="Arial"/>
          <w:noProof/>
          <w:szCs w:val="22"/>
        </w:rPr>
        <w:t xml:space="preserve"> </w:t>
      </w:r>
      <w:r w:rsidR="006129A7">
        <w:rPr>
          <w:rFonts w:eastAsiaTheme="minorHAnsi" w:cs="Arial"/>
          <w:szCs w:val="22"/>
          <w:lang w:eastAsia="en-US"/>
        </w:rPr>
        <w:t>Personelle</w:t>
      </w:r>
      <w:r>
        <w:rPr>
          <w:rFonts w:eastAsiaTheme="minorHAnsi" w:cs="Arial"/>
          <w:szCs w:val="22"/>
          <w:lang w:eastAsia="en-US"/>
        </w:rPr>
        <w:t xml:space="preserve"> Ä</w:t>
      </w:r>
      <w:r w:rsidR="002D652C">
        <w:rPr>
          <w:rFonts w:eastAsiaTheme="minorHAnsi" w:cs="Arial"/>
          <w:szCs w:val="22"/>
          <w:lang w:eastAsia="en-US"/>
        </w:rPr>
        <w:t>n</w:t>
      </w:r>
      <w:r>
        <w:rPr>
          <w:rFonts w:eastAsiaTheme="minorHAnsi" w:cs="Arial"/>
          <w:szCs w:val="22"/>
          <w:lang w:eastAsia="en-US"/>
        </w:rPr>
        <w:t xml:space="preserve">derungen stehen </w:t>
      </w:r>
      <w:r w:rsidRPr="002B720B">
        <w:rPr>
          <w:rFonts w:cs="Arial"/>
          <w:noProof/>
          <w:szCs w:val="22"/>
        </w:rPr>
        <w:t xml:space="preserve">jedoch mit hoher Wahrscheinlichkeit nach den Parlamentswahlen im September </w:t>
      </w:r>
      <w:r>
        <w:rPr>
          <w:rFonts w:cs="Arial"/>
          <w:noProof/>
          <w:szCs w:val="22"/>
        </w:rPr>
        <w:t>zu erwarten</w:t>
      </w:r>
      <w:r w:rsidRPr="002B720B">
        <w:rPr>
          <w:rFonts w:cs="Arial"/>
          <w:noProof/>
          <w:szCs w:val="22"/>
        </w:rPr>
        <w:t>.</w:t>
      </w:r>
    </w:p>
    <w:p w:rsidR="009C07B4" w:rsidRPr="002B720B" w:rsidRDefault="00C93429" w:rsidP="009C07B4">
      <w:pPr>
        <w:autoSpaceDE w:val="0"/>
        <w:autoSpaceDN w:val="0"/>
        <w:adjustRightInd w:val="0"/>
        <w:spacing w:after="120"/>
        <w:jc w:val="both"/>
        <w:rPr>
          <w:rFonts w:cs="Arial"/>
          <w:szCs w:val="22"/>
        </w:rPr>
      </w:pPr>
      <w:r w:rsidRPr="002B720B">
        <w:rPr>
          <w:rFonts w:cs="Arial"/>
          <w:b/>
          <w:szCs w:val="22"/>
        </w:rPr>
        <w:t>Tunesien</w:t>
      </w:r>
      <w:r w:rsidRPr="002B720B">
        <w:rPr>
          <w:rFonts w:cs="Arial"/>
          <w:szCs w:val="22"/>
        </w:rPr>
        <w:t xml:space="preserve"> Im Januar 2016 wurde das Ministerium für Industrie, Energie und Bergbau zweig</w:t>
      </w:r>
      <w:r w:rsidRPr="002B720B">
        <w:rPr>
          <w:rFonts w:cs="Arial"/>
          <w:szCs w:val="22"/>
        </w:rPr>
        <w:t>e</w:t>
      </w:r>
      <w:r w:rsidRPr="002B720B">
        <w:rPr>
          <w:rFonts w:cs="Arial"/>
          <w:szCs w:val="22"/>
        </w:rPr>
        <w:t xml:space="preserve">teilt: Zakaria Hamad blieb Minister für Industrie, Mongi Marzouk wurde Minister für Energie und Bergbau. </w:t>
      </w:r>
    </w:p>
    <w:p w:rsidR="009C07B4" w:rsidRPr="002B720B" w:rsidRDefault="00C93429" w:rsidP="009C07B4">
      <w:pPr>
        <w:autoSpaceDE w:val="0"/>
        <w:autoSpaceDN w:val="0"/>
        <w:adjustRightInd w:val="0"/>
        <w:spacing w:after="120"/>
        <w:jc w:val="both"/>
        <w:rPr>
          <w:rFonts w:cs="Arial"/>
          <w:szCs w:val="22"/>
        </w:rPr>
      </w:pPr>
      <w:r w:rsidRPr="002B720B">
        <w:rPr>
          <w:rFonts w:cs="Arial"/>
          <w:szCs w:val="22"/>
        </w:rPr>
        <w:t xml:space="preserve">In </w:t>
      </w:r>
      <w:r w:rsidRPr="002B720B">
        <w:rPr>
          <w:rFonts w:cs="Arial"/>
          <w:b/>
          <w:szCs w:val="22"/>
        </w:rPr>
        <w:t>Ägypten</w:t>
      </w:r>
      <w:r w:rsidRPr="002B720B">
        <w:rPr>
          <w:rFonts w:cs="Arial"/>
          <w:szCs w:val="22"/>
        </w:rPr>
        <w:t xml:space="preserve"> zeichnet sich der Energiebereich generell durch eine hohe personelle (und inst</w:t>
      </w:r>
      <w:r w:rsidRPr="002B720B">
        <w:rPr>
          <w:rFonts w:cs="Arial"/>
          <w:szCs w:val="22"/>
        </w:rPr>
        <w:t>i</w:t>
      </w:r>
      <w:r w:rsidRPr="002B720B">
        <w:rPr>
          <w:rFonts w:cs="Arial"/>
          <w:szCs w:val="22"/>
        </w:rPr>
        <w:t>tutionelle) Kontinuität aus. Personelle Änderungen sind derzeit nicht derzeit bekannt und werden auch nicht diskutiert.</w:t>
      </w:r>
    </w:p>
    <w:p w:rsidR="009C07B4" w:rsidRPr="002B720B" w:rsidRDefault="00C93429" w:rsidP="009C07B4">
      <w:pPr>
        <w:pStyle w:val="berschrift2"/>
        <w:jc w:val="both"/>
        <w:rPr>
          <w:b/>
          <w:i/>
        </w:rPr>
      </w:pPr>
      <w:bookmarkStart w:id="5" w:name="_Toc460339704"/>
      <w:r w:rsidRPr="002B720B">
        <w:rPr>
          <w:b/>
          <w:i/>
        </w:rPr>
        <w:t>A.2.3</w:t>
      </w:r>
      <w:r w:rsidRPr="002B720B">
        <w:rPr>
          <w:b/>
          <w:i/>
        </w:rPr>
        <w:tab/>
        <w:t>Entwicklungen im Engagement anderer Geber und in der Abstimmung der Geberbeiträge</w:t>
      </w:r>
      <w:bookmarkEnd w:id="5"/>
    </w:p>
    <w:p w:rsidR="009C6CC7" w:rsidRDefault="002D652C" w:rsidP="009C07B4">
      <w:pPr>
        <w:spacing w:after="120"/>
        <w:jc w:val="both"/>
        <w:rPr>
          <w:rFonts w:cs="Arial"/>
          <w:noProof/>
          <w:szCs w:val="22"/>
        </w:rPr>
      </w:pPr>
      <w:r>
        <w:rPr>
          <w:rFonts w:cs="Arial"/>
          <w:noProof/>
          <w:szCs w:val="22"/>
        </w:rPr>
        <w:t>Im</w:t>
      </w:r>
      <w:r w:rsidR="00C93429" w:rsidRPr="002B720B">
        <w:rPr>
          <w:rFonts w:cs="Arial"/>
          <w:noProof/>
          <w:szCs w:val="22"/>
        </w:rPr>
        <w:t xml:space="preserve"> Bereich</w:t>
      </w:r>
      <w:r>
        <w:rPr>
          <w:rFonts w:cs="Arial"/>
          <w:noProof/>
          <w:szCs w:val="22"/>
        </w:rPr>
        <w:t xml:space="preserve"> der </w:t>
      </w:r>
      <w:r w:rsidRPr="002B720B">
        <w:rPr>
          <w:rFonts w:cs="Arial"/>
          <w:noProof/>
          <w:szCs w:val="22"/>
        </w:rPr>
        <w:t>Strom- und Wärmegewinnung aus erneuerbaren sowie aus konventionellen Quellen</w:t>
      </w:r>
      <w:r w:rsidR="00C93429" w:rsidRPr="002B720B">
        <w:rPr>
          <w:rFonts w:cs="Arial"/>
          <w:noProof/>
          <w:szCs w:val="22"/>
        </w:rPr>
        <w:t xml:space="preserve"> sind nahezu alle großen Geber der internationalen Zusammenarbeit </w:t>
      </w:r>
      <w:r w:rsidR="009C6CC7">
        <w:rPr>
          <w:rFonts w:cs="Arial"/>
          <w:noProof/>
          <w:szCs w:val="22"/>
        </w:rPr>
        <w:t>aktiv</w:t>
      </w:r>
      <w:r w:rsidR="00C93429" w:rsidRPr="002B720B">
        <w:rPr>
          <w:rFonts w:cs="Arial"/>
          <w:noProof/>
          <w:szCs w:val="22"/>
        </w:rPr>
        <w:t>. Neben den klassischen multilateralen und europäischen Akteuren spielen auch zunehmend arabische, islamische und asiatische Geber eine Rolle. Infolge der Aufstände und Umbrüche der letzten Jahre (Flucht- und Migrationsbewegungen inklusive) ist zudem das Thema Beschäftigungsförderung als prioritäres und strategisches Thema der internationalen Politik und Zusammenarbeit hinzuge</w:t>
      </w:r>
      <w:r w:rsidR="009C6CC7">
        <w:rPr>
          <w:rFonts w:cs="Arial"/>
          <w:noProof/>
          <w:szCs w:val="22"/>
        </w:rPr>
        <w:t>kommen</w:t>
      </w:r>
      <w:r w:rsidR="00C93429" w:rsidRPr="002B720B">
        <w:rPr>
          <w:rFonts w:cs="Arial"/>
          <w:noProof/>
          <w:szCs w:val="22"/>
        </w:rPr>
        <w:t>. Dies hat zu einer kaum mehr zu überblickenden Vermehrung von Akteuren und Aktivitäten im Projektumfeld geführt.</w:t>
      </w:r>
    </w:p>
    <w:p w:rsidR="009C07B4" w:rsidRPr="002B720B" w:rsidRDefault="009C6CC7" w:rsidP="00AA4A6A">
      <w:pPr>
        <w:spacing w:after="120"/>
        <w:jc w:val="both"/>
        <w:rPr>
          <w:rFonts w:cs="Arial"/>
          <w:noProof/>
          <w:szCs w:val="22"/>
        </w:rPr>
      </w:pPr>
      <w:r>
        <w:rPr>
          <w:rFonts w:cs="Arial"/>
          <w:noProof/>
          <w:szCs w:val="22"/>
        </w:rPr>
        <w:t>In Tunesien unterstützte die EBRD die Netzerneuereung der STEG mit 170 M</w:t>
      </w:r>
      <w:r w:rsidR="002A1483">
        <w:rPr>
          <w:rFonts w:cs="Arial"/>
          <w:noProof/>
          <w:szCs w:val="22"/>
        </w:rPr>
        <w:t xml:space="preserve">io. </w:t>
      </w:r>
      <w:r>
        <w:rPr>
          <w:rFonts w:cs="Arial"/>
          <w:noProof/>
          <w:szCs w:val="22"/>
        </w:rPr>
        <w:t>€ (Projektende 2017), weitere Maßnahmen stehen in Planung. UNDP unterstützt die ANME finanziell in der Beratung der Umsetzung der INDC.</w:t>
      </w:r>
    </w:p>
    <w:p w:rsidR="009C07B4" w:rsidRPr="002B720B" w:rsidRDefault="00C93429" w:rsidP="009C07B4">
      <w:pPr>
        <w:pStyle w:val="berschrift1"/>
        <w:jc w:val="both"/>
      </w:pPr>
      <w:bookmarkStart w:id="6" w:name="_Toc460339705"/>
      <w:r w:rsidRPr="002B720B">
        <w:t>A.3.</w:t>
      </w:r>
      <w:r w:rsidRPr="002B720B">
        <w:tab/>
        <w:t>Entwicklungen im Ansatz des deutschen EZ-Engagements</w:t>
      </w:r>
      <w:bookmarkEnd w:id="6"/>
    </w:p>
    <w:p w:rsidR="009C07B4" w:rsidRPr="002B720B" w:rsidRDefault="00C93429" w:rsidP="009C07B4">
      <w:pPr>
        <w:spacing w:after="120"/>
        <w:jc w:val="both"/>
        <w:rPr>
          <w:rFonts w:cs="Arial"/>
          <w:szCs w:val="22"/>
          <w:lang w:eastAsia="en-US"/>
        </w:rPr>
      </w:pPr>
      <w:r w:rsidRPr="002B720B">
        <w:rPr>
          <w:rFonts w:cs="Arial"/>
          <w:szCs w:val="22"/>
          <w:lang w:eastAsia="en-US"/>
        </w:rPr>
        <w:t>Die Förderung von RE/EE gehört zu den Schwerpunkten der deutschen Entwicklungsz</w:t>
      </w:r>
      <w:r w:rsidRPr="002B720B">
        <w:rPr>
          <w:rFonts w:cs="Arial"/>
          <w:szCs w:val="22"/>
          <w:lang w:eastAsia="en-US"/>
        </w:rPr>
        <w:t>u</w:t>
      </w:r>
      <w:r w:rsidRPr="002B720B">
        <w:rPr>
          <w:rFonts w:cs="Arial"/>
          <w:szCs w:val="22"/>
          <w:lang w:eastAsia="en-US"/>
        </w:rPr>
        <w:t xml:space="preserve">sammenarbeit </w:t>
      </w:r>
      <w:r w:rsidR="000243F5">
        <w:rPr>
          <w:rFonts w:cs="Arial"/>
          <w:szCs w:val="22"/>
          <w:lang w:eastAsia="en-US"/>
        </w:rPr>
        <w:t xml:space="preserve">in der </w:t>
      </w:r>
      <w:r w:rsidR="003E4CDC">
        <w:rPr>
          <w:rFonts w:cs="Arial"/>
          <w:bCs/>
          <w:szCs w:val="22"/>
          <w:lang w:eastAsia="en-US"/>
        </w:rPr>
        <w:t>MENA-</w:t>
      </w:r>
      <w:r w:rsidR="000243F5" w:rsidRPr="002B720B">
        <w:rPr>
          <w:rFonts w:cs="Arial"/>
          <w:bCs/>
          <w:szCs w:val="22"/>
          <w:lang w:eastAsia="en-US"/>
        </w:rPr>
        <w:t xml:space="preserve">Region </w:t>
      </w:r>
      <w:r w:rsidRPr="002B720B">
        <w:rPr>
          <w:rFonts w:cs="Arial"/>
          <w:szCs w:val="22"/>
          <w:lang w:eastAsia="en-US"/>
        </w:rPr>
        <w:t xml:space="preserve">und hat in den letzten Jahren immer mehr an Bedeutung gewonnen. </w:t>
      </w:r>
      <w:r w:rsidRPr="002B720B">
        <w:rPr>
          <w:rFonts w:cs="Arial"/>
          <w:bCs/>
          <w:szCs w:val="22"/>
          <w:lang w:eastAsia="en-US"/>
        </w:rPr>
        <w:t>Das BMZ ist mit einem laufenden Portfolio von über einer Milliarde Euro einer der größten Förderer und Impulsgeber für die Region in diesem Bereich. Mit Hilfe der Internati</w:t>
      </w:r>
      <w:r w:rsidRPr="002B720B">
        <w:rPr>
          <w:rFonts w:cs="Arial"/>
          <w:bCs/>
          <w:szCs w:val="22"/>
          <w:lang w:eastAsia="en-US"/>
        </w:rPr>
        <w:t>o</w:t>
      </w:r>
      <w:r w:rsidRPr="002B720B">
        <w:rPr>
          <w:rFonts w:cs="Arial"/>
          <w:bCs/>
          <w:szCs w:val="22"/>
          <w:lang w:eastAsia="en-US"/>
        </w:rPr>
        <w:t xml:space="preserve">nalen Klimaschutz-Initiative (IKI) finanziert auch das BMUB eine große Anzahl von Projekten. AA und BMBF komplettieren das </w:t>
      </w:r>
      <w:r w:rsidRPr="002B720B">
        <w:rPr>
          <w:rFonts w:cs="Arial"/>
          <w:szCs w:val="22"/>
          <w:lang w:eastAsia="en-US"/>
        </w:rPr>
        <w:t>Spektrum. Die Energiepartnerschaften mit Marokko, Tun</w:t>
      </w:r>
      <w:r w:rsidRPr="002B720B">
        <w:rPr>
          <w:rFonts w:cs="Arial"/>
          <w:szCs w:val="22"/>
          <w:lang w:eastAsia="en-US"/>
        </w:rPr>
        <w:t>e</w:t>
      </w:r>
      <w:r w:rsidRPr="002B720B">
        <w:rPr>
          <w:rFonts w:cs="Arial"/>
          <w:szCs w:val="22"/>
          <w:lang w:eastAsia="en-US"/>
        </w:rPr>
        <w:t>sien und Algerien verleihen der Zusammenarbeit mit den Ländern einen weiteren Schub und stellen zugleich einen Rahmen für einen integrierten und intensivierten Austausch auf staatl</w:t>
      </w:r>
      <w:r w:rsidRPr="002B720B">
        <w:rPr>
          <w:rFonts w:cs="Arial"/>
          <w:szCs w:val="22"/>
          <w:lang w:eastAsia="en-US"/>
        </w:rPr>
        <w:t>i</w:t>
      </w:r>
      <w:r w:rsidRPr="002B720B">
        <w:rPr>
          <w:rFonts w:cs="Arial"/>
          <w:szCs w:val="22"/>
          <w:lang w:eastAsia="en-US"/>
        </w:rPr>
        <w:t>cher und privatwirtschaftlicher Ebene bereit.</w:t>
      </w:r>
    </w:p>
    <w:p w:rsidR="009C07B4" w:rsidRPr="002B720B" w:rsidRDefault="00C93429" w:rsidP="009C07B4">
      <w:pPr>
        <w:spacing w:after="120"/>
        <w:jc w:val="both"/>
        <w:rPr>
          <w:rFonts w:cs="Arial"/>
          <w:szCs w:val="22"/>
          <w:lang w:eastAsia="en-US"/>
        </w:rPr>
      </w:pPr>
      <w:r w:rsidRPr="002B720B">
        <w:rPr>
          <w:rFonts w:cs="Arial"/>
          <w:szCs w:val="22"/>
          <w:lang w:eastAsia="en-US"/>
        </w:rPr>
        <w:t xml:space="preserve">Auch die Förderung Nachhaltiger Wirtschaftsentwicklung (NaWi) ist ein Schwerpunktbereich der deutschen Entwicklungszusammenarbeit mit der </w:t>
      </w:r>
      <w:r w:rsidR="006129A7" w:rsidRPr="002B720B">
        <w:rPr>
          <w:rFonts w:cs="Arial"/>
          <w:szCs w:val="22"/>
          <w:lang w:eastAsia="en-US"/>
        </w:rPr>
        <w:t>MENA</w:t>
      </w:r>
      <w:r w:rsidR="006129A7">
        <w:rPr>
          <w:rFonts w:cs="Arial"/>
          <w:szCs w:val="22"/>
          <w:lang w:eastAsia="en-US"/>
        </w:rPr>
        <w:t>-</w:t>
      </w:r>
      <w:r w:rsidR="006129A7" w:rsidRPr="002B720B">
        <w:rPr>
          <w:rFonts w:cs="Arial"/>
          <w:szCs w:val="22"/>
          <w:lang w:eastAsia="en-US"/>
        </w:rPr>
        <w:t>Region</w:t>
      </w:r>
      <w:r w:rsidRPr="002B720B">
        <w:rPr>
          <w:rFonts w:cs="Arial"/>
          <w:szCs w:val="22"/>
          <w:lang w:eastAsia="en-US"/>
        </w:rPr>
        <w:t>. Mit Blick auf die jüng</w:t>
      </w:r>
      <w:r w:rsidRPr="002B720B">
        <w:rPr>
          <w:rFonts w:cs="Arial"/>
          <w:szCs w:val="22"/>
          <w:lang w:eastAsia="en-US"/>
        </w:rPr>
        <w:t>s</w:t>
      </w:r>
      <w:r w:rsidRPr="002B720B">
        <w:rPr>
          <w:rFonts w:cs="Arial"/>
          <w:szCs w:val="22"/>
          <w:lang w:eastAsia="en-US"/>
        </w:rPr>
        <w:t>ten Entwicklungen in vielen Ländern der arabischen Welt – und auf die Chancen und Ris</w:t>
      </w:r>
      <w:r w:rsidRPr="002B720B">
        <w:rPr>
          <w:rFonts w:cs="Arial"/>
          <w:szCs w:val="22"/>
          <w:lang w:eastAsia="en-US"/>
        </w:rPr>
        <w:t>i</w:t>
      </w:r>
      <w:r w:rsidRPr="002B720B">
        <w:rPr>
          <w:rFonts w:cs="Arial"/>
          <w:szCs w:val="22"/>
          <w:lang w:eastAsia="en-US"/>
        </w:rPr>
        <w:t>ken, die sich hieraus ergeben – wurde dieser Bereich weiter ausgebaut und mit einem sta</w:t>
      </w:r>
      <w:r w:rsidRPr="002B720B">
        <w:rPr>
          <w:rFonts w:cs="Arial"/>
          <w:szCs w:val="22"/>
          <w:lang w:eastAsia="en-US"/>
        </w:rPr>
        <w:t>r</w:t>
      </w:r>
      <w:r w:rsidRPr="002B720B">
        <w:rPr>
          <w:rFonts w:cs="Arial"/>
          <w:szCs w:val="22"/>
          <w:lang w:eastAsia="en-US"/>
        </w:rPr>
        <w:t>ken Fokus auf Beschäftigungsförderung versehen. In diesem Zusammenhang ist insbeso</w:t>
      </w:r>
      <w:r w:rsidRPr="002B720B">
        <w:rPr>
          <w:rFonts w:cs="Arial"/>
          <w:szCs w:val="22"/>
          <w:lang w:eastAsia="en-US"/>
        </w:rPr>
        <w:t>n</w:t>
      </w:r>
      <w:r w:rsidRPr="002B720B">
        <w:rPr>
          <w:rFonts w:cs="Arial"/>
          <w:szCs w:val="22"/>
          <w:lang w:eastAsia="en-US"/>
        </w:rPr>
        <w:t>dere die Sonderinitiative zur Stabilisierung der MENA-Region (SI MENA) zu nennen.</w:t>
      </w:r>
    </w:p>
    <w:p w:rsidR="009C07B4" w:rsidRPr="002B720B" w:rsidRDefault="00C93429" w:rsidP="009C07B4">
      <w:pPr>
        <w:spacing w:after="120"/>
        <w:jc w:val="both"/>
        <w:rPr>
          <w:rFonts w:cs="Arial"/>
          <w:szCs w:val="22"/>
          <w:lang w:eastAsia="en-US"/>
        </w:rPr>
      </w:pPr>
      <w:r w:rsidRPr="002B720B">
        <w:rPr>
          <w:rFonts w:cs="Arial"/>
          <w:szCs w:val="22"/>
          <w:lang w:eastAsia="en-US"/>
        </w:rPr>
        <w:t>Infolge dieser Entwicklungen hat sich das deutsche EZ</w:t>
      </w:r>
      <w:r w:rsidR="000243F5">
        <w:rPr>
          <w:rFonts w:cs="Arial"/>
          <w:szCs w:val="22"/>
          <w:lang w:eastAsia="en-US"/>
        </w:rPr>
        <w:t>-</w:t>
      </w:r>
      <w:r w:rsidR="003E4CDC">
        <w:rPr>
          <w:rFonts w:cs="Arial"/>
          <w:szCs w:val="22"/>
          <w:lang w:eastAsia="en-US"/>
        </w:rPr>
        <w:t>Portfolio in der MENA-</w:t>
      </w:r>
      <w:r w:rsidRPr="002B720B">
        <w:rPr>
          <w:rFonts w:cs="Arial"/>
          <w:szCs w:val="22"/>
          <w:lang w:eastAsia="en-US"/>
        </w:rPr>
        <w:t>Region inkl</w:t>
      </w:r>
      <w:r w:rsidRPr="002B720B">
        <w:rPr>
          <w:rFonts w:cs="Arial"/>
          <w:szCs w:val="22"/>
          <w:lang w:eastAsia="en-US"/>
        </w:rPr>
        <w:t>u</w:t>
      </w:r>
      <w:r w:rsidRPr="002B720B">
        <w:rPr>
          <w:rFonts w:cs="Arial"/>
          <w:szCs w:val="22"/>
          <w:lang w:eastAsia="en-US"/>
        </w:rPr>
        <w:t>sive in den Fokusländern von RE-ACTIVATE erheblich verändert. Hieraus ergeben sich neue Gelegenheiten zur Schaffung von Hebel- und Synergieeffekten, aber auch neue He</w:t>
      </w:r>
      <w:r w:rsidRPr="002B720B">
        <w:rPr>
          <w:rFonts w:cs="Arial"/>
          <w:szCs w:val="22"/>
          <w:lang w:eastAsia="en-US"/>
        </w:rPr>
        <w:t>r</w:t>
      </w:r>
      <w:r w:rsidRPr="002B720B">
        <w:rPr>
          <w:rFonts w:cs="Arial"/>
          <w:szCs w:val="22"/>
          <w:lang w:eastAsia="en-US"/>
        </w:rPr>
        <w:t>ausfo</w:t>
      </w:r>
      <w:r w:rsidRPr="002B720B">
        <w:rPr>
          <w:rFonts w:cs="Arial"/>
          <w:szCs w:val="22"/>
          <w:lang w:eastAsia="en-US"/>
        </w:rPr>
        <w:t>r</w:t>
      </w:r>
      <w:r w:rsidRPr="002B720B">
        <w:rPr>
          <w:rFonts w:cs="Arial"/>
          <w:szCs w:val="22"/>
          <w:lang w:eastAsia="en-US"/>
        </w:rPr>
        <w:t>derungen für die projekt- und sektorübergreifende Kommunikation und Koordination.</w:t>
      </w:r>
    </w:p>
    <w:p w:rsidR="009C07B4" w:rsidRPr="002B720B" w:rsidRDefault="00C93429" w:rsidP="009C07B4">
      <w:pPr>
        <w:pStyle w:val="berschrift1"/>
        <w:jc w:val="both"/>
      </w:pPr>
      <w:bookmarkStart w:id="7" w:name="_Toc460339706"/>
      <w:r w:rsidRPr="002B720B">
        <w:t>A.4.</w:t>
      </w:r>
      <w:r w:rsidRPr="002B720B">
        <w:tab/>
        <w:t>Vorschläge für vom BMZ zu ergreifende Maßnahmen</w:t>
      </w:r>
      <w:bookmarkEnd w:id="7"/>
    </w:p>
    <w:p w:rsidR="009C07B4" w:rsidRPr="000437D6" w:rsidRDefault="00C93429" w:rsidP="009C07B4">
      <w:pPr>
        <w:pStyle w:val="berschrift2"/>
        <w:jc w:val="both"/>
        <w:rPr>
          <w:b/>
          <w:i/>
        </w:rPr>
      </w:pPr>
      <w:bookmarkStart w:id="8" w:name="_Toc460339707"/>
      <w:r w:rsidRPr="000437D6">
        <w:rPr>
          <w:b/>
          <w:i/>
        </w:rPr>
        <w:t>A.4.1</w:t>
      </w:r>
      <w:r w:rsidRPr="000437D6">
        <w:rPr>
          <w:b/>
          <w:i/>
        </w:rPr>
        <w:tab/>
        <w:t>Maßnahmen im Rahmen des Politik- und Schwerpunktdialogs</w:t>
      </w:r>
      <w:bookmarkEnd w:id="8"/>
    </w:p>
    <w:p w:rsidR="009C07B4" w:rsidRPr="002B720B" w:rsidRDefault="00C93429" w:rsidP="009C07B4">
      <w:pPr>
        <w:spacing w:after="120"/>
        <w:jc w:val="both"/>
      </w:pPr>
      <w:r w:rsidRPr="002B720B">
        <w:rPr>
          <w:noProof/>
        </w:rPr>
        <w:t>keine</w:t>
      </w:r>
    </w:p>
    <w:p w:rsidR="009C07B4" w:rsidRPr="000437D6" w:rsidRDefault="00C93429" w:rsidP="009C07B4">
      <w:pPr>
        <w:pStyle w:val="berschrift2"/>
        <w:jc w:val="both"/>
        <w:rPr>
          <w:b/>
          <w:i/>
        </w:rPr>
      </w:pPr>
      <w:bookmarkStart w:id="9" w:name="_Toc460339708"/>
      <w:r w:rsidRPr="000437D6">
        <w:rPr>
          <w:b/>
          <w:i/>
        </w:rPr>
        <w:t>A.4.2</w:t>
      </w:r>
      <w:r w:rsidRPr="000437D6">
        <w:rPr>
          <w:b/>
          <w:i/>
        </w:rPr>
        <w:tab/>
        <w:t>Änderungen in der Aufstellung der deutschen EZ</w:t>
      </w:r>
      <w:bookmarkEnd w:id="9"/>
    </w:p>
    <w:p w:rsidR="009C07B4" w:rsidRDefault="00C93429" w:rsidP="009C07B4">
      <w:pPr>
        <w:spacing w:after="120"/>
        <w:jc w:val="both"/>
        <w:rPr>
          <w:noProof/>
        </w:rPr>
      </w:pPr>
      <w:r w:rsidRPr="002B720B">
        <w:rPr>
          <w:noProof/>
        </w:rPr>
        <w:t>keine</w:t>
      </w:r>
    </w:p>
    <w:p w:rsidR="009C07B4" w:rsidRDefault="00C93429">
      <w:pPr>
        <w:spacing w:line="240" w:lineRule="auto"/>
        <w:rPr>
          <w:noProof/>
        </w:rPr>
      </w:pPr>
      <w:r>
        <w:rPr>
          <w:noProof/>
        </w:rPr>
        <w:br w:type="page"/>
      </w:r>
    </w:p>
    <w:p w:rsidR="009C07B4" w:rsidRPr="002B720B" w:rsidRDefault="00C93429" w:rsidP="009C07B4">
      <w:pPr>
        <w:pStyle w:val="berschrift1"/>
        <w:jc w:val="both"/>
      </w:pPr>
      <w:bookmarkStart w:id="10" w:name="_Toc460339709"/>
      <w:r w:rsidRPr="002B720B">
        <w:t>B.1.</w:t>
      </w:r>
      <w:r w:rsidRPr="002B720B">
        <w:tab/>
        <w:t>Kurzbeschreibung</w:t>
      </w:r>
      <w:bookmarkEnd w:id="10"/>
    </w:p>
    <w:p w:rsidR="009C07B4" w:rsidRPr="002B720B" w:rsidRDefault="00C93429" w:rsidP="009C07B4">
      <w:pPr>
        <w:spacing w:after="120"/>
        <w:jc w:val="both"/>
      </w:pPr>
      <w:r w:rsidRPr="002B720B">
        <w:rPr>
          <w:noProof/>
        </w:rPr>
        <w:fldChar w:fldCharType="begin">
          <w:ffData>
            <w:name w:val=""/>
            <w:enabled/>
            <w:calcOnExit w:val="0"/>
            <w:textInput>
              <w:default w:val="entfällt, da alleinstehende Maßnahme"/>
            </w:textInput>
          </w:ffData>
        </w:fldChar>
      </w:r>
      <w:r w:rsidRPr="002B720B">
        <w:rPr>
          <w:noProof/>
        </w:rPr>
        <w:instrText xml:space="preserve"> FORMTEXT </w:instrText>
      </w:r>
      <w:r w:rsidRPr="002B720B">
        <w:rPr>
          <w:noProof/>
        </w:rPr>
      </w:r>
      <w:r w:rsidRPr="002B720B">
        <w:rPr>
          <w:noProof/>
        </w:rPr>
        <w:fldChar w:fldCharType="separate"/>
      </w:r>
      <w:r w:rsidRPr="002B720B">
        <w:rPr>
          <w:noProof/>
        </w:rPr>
        <w:t>entfällt, da alleinstehende Maßnahme</w:t>
      </w:r>
      <w:r w:rsidRPr="002B720B">
        <w:rPr>
          <w:noProof/>
        </w:rPr>
        <w:fldChar w:fldCharType="end"/>
      </w:r>
    </w:p>
    <w:p w:rsidR="009C07B4" w:rsidRPr="002B720B" w:rsidRDefault="00C93429" w:rsidP="009C07B4">
      <w:pPr>
        <w:pStyle w:val="berschrift1"/>
        <w:jc w:val="both"/>
      </w:pPr>
      <w:bookmarkStart w:id="11" w:name="_Toc460339710"/>
      <w:r w:rsidRPr="002B720B">
        <w:t>B.2.</w:t>
      </w:r>
      <w:r w:rsidRPr="002B720B">
        <w:tab/>
        <w:t>Konkrete Entwicklungen/Änderungen bei der TZ-Maßnahme</w:t>
      </w:r>
      <w:bookmarkEnd w:id="11"/>
    </w:p>
    <w:p w:rsidR="009C07B4" w:rsidRPr="002B720B" w:rsidRDefault="00C93429" w:rsidP="009C07B4">
      <w:pPr>
        <w:pStyle w:val="berschrift2"/>
        <w:jc w:val="both"/>
        <w:rPr>
          <w:b/>
          <w:i/>
        </w:rPr>
      </w:pPr>
      <w:bookmarkStart w:id="12" w:name="_Toc460339711"/>
      <w:r w:rsidRPr="002B720B">
        <w:rPr>
          <w:b/>
          <w:i/>
        </w:rPr>
        <w:t>B.2.1</w:t>
      </w:r>
      <w:r w:rsidRPr="002B720B">
        <w:rPr>
          <w:b/>
          <w:i/>
        </w:rPr>
        <w:tab/>
        <w:t>Gestaltung der TZ-Maßnahme, Gesamtkosten, Finanzierung, Zeitplan</w:t>
      </w:r>
      <w:bookmarkEnd w:id="12"/>
    </w:p>
    <w:p w:rsidR="009C07B4" w:rsidRPr="002B720B" w:rsidRDefault="00C93429" w:rsidP="009C07B4">
      <w:pPr>
        <w:spacing w:after="120"/>
        <w:jc w:val="both"/>
        <w:rPr>
          <w:rFonts w:eastAsia="Calibri" w:cs="Arial"/>
          <w:szCs w:val="22"/>
          <w:lang w:eastAsia="en-US"/>
        </w:rPr>
      </w:pPr>
      <w:r w:rsidRPr="002B720B">
        <w:rPr>
          <w:rFonts w:eastAsia="Calibri" w:cs="Arial"/>
          <w:szCs w:val="22"/>
          <w:lang w:eastAsia="en-US"/>
        </w:rPr>
        <w:t>Auftragsgemäß konzentriert sich RE-ACTIVATE auf die Bearbeitung der Schnittstellen zw</w:t>
      </w:r>
      <w:r w:rsidRPr="002B720B">
        <w:rPr>
          <w:rFonts w:eastAsia="Calibri" w:cs="Arial"/>
          <w:szCs w:val="22"/>
          <w:lang w:eastAsia="en-US"/>
        </w:rPr>
        <w:t>i</w:t>
      </w:r>
      <w:r w:rsidRPr="002B720B">
        <w:rPr>
          <w:rFonts w:eastAsia="Calibri" w:cs="Arial"/>
          <w:szCs w:val="22"/>
          <w:lang w:eastAsia="en-US"/>
        </w:rPr>
        <w:t xml:space="preserve">schen den Schwerpunktsektoren nachhaltige Energieförderung </w:t>
      </w:r>
      <w:r>
        <w:rPr>
          <w:rFonts w:eastAsia="Calibri" w:cs="Arial"/>
          <w:szCs w:val="22"/>
          <w:lang w:eastAsia="en-US"/>
        </w:rPr>
        <w:t>und</w:t>
      </w:r>
      <w:r w:rsidRPr="002B720B">
        <w:rPr>
          <w:rFonts w:eastAsia="Calibri" w:cs="Arial"/>
          <w:szCs w:val="22"/>
          <w:lang w:eastAsia="en-US"/>
        </w:rPr>
        <w:t xml:space="preserve"> nachhaltige Wirtschaft</w:t>
      </w:r>
      <w:r w:rsidRPr="002B720B">
        <w:rPr>
          <w:rFonts w:eastAsia="Calibri" w:cs="Arial"/>
          <w:szCs w:val="22"/>
          <w:lang w:eastAsia="en-US"/>
        </w:rPr>
        <w:t>s</w:t>
      </w:r>
      <w:r w:rsidRPr="002B720B">
        <w:rPr>
          <w:rFonts w:eastAsia="Calibri" w:cs="Arial"/>
          <w:szCs w:val="22"/>
          <w:lang w:eastAsia="en-US"/>
        </w:rPr>
        <w:t xml:space="preserve">entwicklung, mit dem Ziel, die zahlreichen Querverbindungen und möglichen Synergieeffekte besser nutzbar zu machen und </w:t>
      </w:r>
      <w:r>
        <w:rPr>
          <w:rFonts w:eastAsia="Calibri" w:cs="Arial"/>
          <w:szCs w:val="22"/>
          <w:lang w:eastAsia="en-US"/>
        </w:rPr>
        <w:t>da</w:t>
      </w:r>
      <w:r w:rsidRPr="002B720B">
        <w:rPr>
          <w:rFonts w:eastAsia="Calibri" w:cs="Arial"/>
          <w:szCs w:val="22"/>
          <w:lang w:eastAsia="en-US"/>
        </w:rPr>
        <w:t xml:space="preserve">durch die Voraussetzungen für die Entwicklung tragfähiger lokaler Märkte für beschäftigungsintensive RE/EE-Anwendungen in MENA </w:t>
      </w:r>
      <w:r>
        <w:rPr>
          <w:rFonts w:eastAsia="Calibri" w:cs="Arial"/>
          <w:szCs w:val="22"/>
          <w:lang w:eastAsia="en-US"/>
        </w:rPr>
        <w:t xml:space="preserve">zu </w:t>
      </w:r>
      <w:r w:rsidRPr="002B720B">
        <w:rPr>
          <w:rFonts w:eastAsia="Calibri" w:cs="Arial"/>
          <w:szCs w:val="22"/>
          <w:lang w:eastAsia="en-US"/>
        </w:rPr>
        <w:t>verbessern</w:t>
      </w:r>
      <w:r>
        <w:rPr>
          <w:rFonts w:eastAsia="Calibri" w:cs="Arial"/>
          <w:szCs w:val="22"/>
          <w:lang w:eastAsia="en-US"/>
        </w:rPr>
        <w:t>.</w:t>
      </w:r>
    </w:p>
    <w:p w:rsidR="009C07B4" w:rsidRPr="002B720B" w:rsidRDefault="00C93429" w:rsidP="009C07B4">
      <w:pPr>
        <w:spacing w:after="120"/>
        <w:jc w:val="both"/>
        <w:rPr>
          <w:rFonts w:eastAsia="Calibri" w:cs="Arial"/>
          <w:szCs w:val="22"/>
          <w:lang w:eastAsia="en-US"/>
        </w:rPr>
      </w:pPr>
      <w:r w:rsidRPr="002B720B">
        <w:rPr>
          <w:rFonts w:eastAsia="Calibri" w:cs="Arial"/>
          <w:szCs w:val="22"/>
          <w:lang w:eastAsia="en-US"/>
        </w:rPr>
        <w:t>Das Vorhaben will die Partner darin unterstützen, Beschäftigungseffekte, die durch RE/EE</w:t>
      </w:r>
      <w:r w:rsidR="003E4CDC">
        <w:rPr>
          <w:rFonts w:eastAsia="Calibri" w:cs="Arial"/>
          <w:szCs w:val="22"/>
          <w:lang w:eastAsia="en-US"/>
        </w:rPr>
        <w:t>-</w:t>
      </w:r>
      <w:r w:rsidRPr="002B720B">
        <w:rPr>
          <w:rFonts w:eastAsia="Calibri" w:cs="Arial"/>
          <w:szCs w:val="22"/>
          <w:lang w:eastAsia="en-US"/>
        </w:rPr>
        <w:t xml:space="preserve"> </w:t>
      </w:r>
      <w:r>
        <w:rPr>
          <w:rFonts w:eastAsia="Calibri" w:cs="Arial"/>
          <w:szCs w:val="22"/>
          <w:lang w:eastAsia="en-US"/>
        </w:rPr>
        <w:t xml:space="preserve">Technologien </w:t>
      </w:r>
      <w:r w:rsidRPr="002B720B">
        <w:rPr>
          <w:rFonts w:eastAsia="Calibri" w:cs="Arial"/>
          <w:szCs w:val="22"/>
          <w:lang w:eastAsia="en-US"/>
        </w:rPr>
        <w:t>auf regionaler oder nationaler Ebene erzielt werden können, richtig einz</w:t>
      </w:r>
      <w:r w:rsidRPr="002B720B">
        <w:rPr>
          <w:rFonts w:eastAsia="Calibri" w:cs="Arial"/>
          <w:szCs w:val="22"/>
          <w:lang w:eastAsia="en-US"/>
        </w:rPr>
        <w:t>u</w:t>
      </w:r>
      <w:r w:rsidRPr="002B720B">
        <w:rPr>
          <w:rFonts w:eastAsia="Calibri" w:cs="Arial"/>
          <w:szCs w:val="22"/>
          <w:lang w:eastAsia="en-US"/>
        </w:rPr>
        <w:t xml:space="preserve">schätzen und mit Hilfe geeigneter Förderinstrumente und </w:t>
      </w:r>
      <w:r w:rsidR="005C4CF1">
        <w:rPr>
          <w:rFonts w:eastAsia="Calibri" w:cs="Arial"/>
          <w:szCs w:val="22"/>
          <w:lang w:eastAsia="en-US"/>
        </w:rPr>
        <w:t>-</w:t>
      </w:r>
      <w:r w:rsidRPr="002B720B">
        <w:rPr>
          <w:rFonts w:eastAsia="Calibri" w:cs="Arial"/>
          <w:szCs w:val="22"/>
          <w:lang w:eastAsia="en-US"/>
        </w:rPr>
        <w:t xml:space="preserve">maßnahmen für lokale Ziel- und Nutzergruppen </w:t>
      </w:r>
      <w:r w:rsidR="005C4CF1">
        <w:rPr>
          <w:rFonts w:eastAsia="Calibri" w:cs="Arial"/>
          <w:szCs w:val="22"/>
          <w:lang w:eastAsia="en-US"/>
        </w:rPr>
        <w:t>zu realisieren</w:t>
      </w:r>
      <w:r w:rsidRPr="002B720B">
        <w:rPr>
          <w:rFonts w:eastAsia="Calibri" w:cs="Arial"/>
          <w:szCs w:val="22"/>
          <w:lang w:eastAsia="en-US"/>
        </w:rPr>
        <w:t>.</w:t>
      </w:r>
      <w:r>
        <w:rPr>
          <w:rFonts w:eastAsia="Calibri" w:cs="Arial"/>
          <w:szCs w:val="22"/>
          <w:lang w:eastAsia="en-US"/>
        </w:rPr>
        <w:t xml:space="preserve"> Der </w:t>
      </w:r>
      <w:r w:rsidRPr="002B720B">
        <w:rPr>
          <w:rFonts w:eastAsia="Calibri" w:cs="Arial"/>
          <w:szCs w:val="22"/>
          <w:lang w:eastAsia="en-US"/>
        </w:rPr>
        <w:t xml:space="preserve">Fokus </w:t>
      </w:r>
      <w:r>
        <w:rPr>
          <w:rFonts w:eastAsia="Calibri" w:cs="Arial"/>
          <w:szCs w:val="22"/>
          <w:lang w:eastAsia="en-US"/>
        </w:rPr>
        <w:t xml:space="preserve">liegt </w:t>
      </w:r>
      <w:r w:rsidRPr="002B720B">
        <w:rPr>
          <w:rFonts w:eastAsia="Calibri" w:cs="Arial"/>
          <w:szCs w:val="22"/>
          <w:lang w:eastAsia="en-US"/>
        </w:rPr>
        <w:t>auf überdurchschnittlich beschäftigungsinte</w:t>
      </w:r>
      <w:r w:rsidRPr="002B720B">
        <w:rPr>
          <w:rFonts w:eastAsia="Calibri" w:cs="Arial"/>
          <w:szCs w:val="22"/>
          <w:lang w:eastAsia="en-US"/>
        </w:rPr>
        <w:t>n</w:t>
      </w:r>
      <w:r w:rsidRPr="002B720B">
        <w:rPr>
          <w:rFonts w:eastAsia="Calibri" w:cs="Arial"/>
          <w:szCs w:val="22"/>
          <w:lang w:eastAsia="en-US"/>
        </w:rPr>
        <w:t>sive</w:t>
      </w:r>
      <w:r>
        <w:rPr>
          <w:rFonts w:eastAsia="Calibri" w:cs="Arial"/>
          <w:szCs w:val="22"/>
          <w:lang w:eastAsia="en-US"/>
        </w:rPr>
        <w:t>n</w:t>
      </w:r>
      <w:r w:rsidRPr="002B720B">
        <w:rPr>
          <w:rFonts w:eastAsia="Calibri" w:cs="Arial"/>
          <w:szCs w:val="22"/>
          <w:lang w:eastAsia="en-US"/>
        </w:rPr>
        <w:t xml:space="preserve"> Anwendungen: v.a. dezentrale </w:t>
      </w:r>
      <w:r>
        <w:rPr>
          <w:rFonts w:eastAsia="Calibri" w:cs="Arial"/>
          <w:szCs w:val="22"/>
          <w:lang w:eastAsia="en-US"/>
        </w:rPr>
        <w:t xml:space="preserve">RE </w:t>
      </w:r>
      <w:r w:rsidRPr="002B720B">
        <w:rPr>
          <w:rFonts w:eastAsia="Calibri" w:cs="Arial"/>
          <w:szCs w:val="22"/>
          <w:lang w:eastAsia="en-US"/>
        </w:rPr>
        <w:t>(durch PV, Solarthermie, Wind</w:t>
      </w:r>
      <w:r>
        <w:rPr>
          <w:rFonts w:eastAsia="Calibri" w:cs="Arial"/>
          <w:szCs w:val="22"/>
          <w:lang w:eastAsia="en-US"/>
        </w:rPr>
        <w:t xml:space="preserve"> und</w:t>
      </w:r>
      <w:r w:rsidRPr="002B720B">
        <w:rPr>
          <w:rFonts w:eastAsia="Calibri" w:cs="Arial"/>
          <w:szCs w:val="22"/>
          <w:lang w:eastAsia="en-US"/>
        </w:rPr>
        <w:t xml:space="preserve"> Biomasse) in Verbindung mit </w:t>
      </w:r>
      <w:r>
        <w:rPr>
          <w:rFonts w:eastAsia="Calibri" w:cs="Arial"/>
          <w:szCs w:val="22"/>
          <w:lang w:eastAsia="en-US"/>
        </w:rPr>
        <w:t xml:space="preserve">EE </w:t>
      </w:r>
      <w:r w:rsidRPr="002B720B">
        <w:rPr>
          <w:rFonts w:eastAsia="Calibri" w:cs="Arial"/>
          <w:szCs w:val="22"/>
          <w:lang w:eastAsia="en-US"/>
        </w:rPr>
        <w:t>im Gebäude-, Industrie- und Landwirtschaftsbereich</w:t>
      </w:r>
      <w:r>
        <w:rPr>
          <w:rFonts w:eastAsia="Calibri" w:cs="Arial"/>
          <w:szCs w:val="22"/>
          <w:lang w:eastAsia="en-US"/>
        </w:rPr>
        <w:t>.</w:t>
      </w:r>
    </w:p>
    <w:p w:rsidR="009C07B4" w:rsidRPr="002B720B" w:rsidRDefault="00C93429" w:rsidP="009C07B4">
      <w:pPr>
        <w:spacing w:after="120"/>
        <w:jc w:val="both"/>
        <w:rPr>
          <w:rFonts w:eastAsia="Calibri" w:cs="Arial"/>
          <w:szCs w:val="22"/>
          <w:lang w:eastAsia="en-US"/>
        </w:rPr>
      </w:pPr>
      <w:r>
        <w:rPr>
          <w:rFonts w:eastAsia="Calibri" w:cs="Arial"/>
          <w:szCs w:val="22"/>
          <w:lang w:eastAsia="en-US"/>
        </w:rPr>
        <w:t xml:space="preserve">Zu </w:t>
      </w:r>
      <w:r w:rsidRPr="002B720B">
        <w:rPr>
          <w:rFonts w:eastAsia="Calibri" w:cs="Arial"/>
          <w:szCs w:val="22"/>
          <w:lang w:eastAsia="en-US"/>
        </w:rPr>
        <w:t>diese</w:t>
      </w:r>
      <w:r>
        <w:rPr>
          <w:rFonts w:eastAsia="Calibri" w:cs="Arial"/>
          <w:szCs w:val="22"/>
          <w:lang w:eastAsia="en-US"/>
        </w:rPr>
        <w:t>m</w:t>
      </w:r>
      <w:r w:rsidRPr="002B720B">
        <w:rPr>
          <w:rFonts w:eastAsia="Calibri" w:cs="Arial"/>
          <w:szCs w:val="22"/>
          <w:lang w:eastAsia="en-US"/>
        </w:rPr>
        <w:t xml:space="preserve"> Ziel arbeitet das Vorhaben parallel auf mehreren </w:t>
      </w:r>
      <w:r>
        <w:rPr>
          <w:rFonts w:eastAsia="Calibri" w:cs="Arial"/>
          <w:szCs w:val="22"/>
          <w:lang w:eastAsia="en-US"/>
        </w:rPr>
        <w:t>E</w:t>
      </w:r>
      <w:r w:rsidRPr="002B720B">
        <w:rPr>
          <w:rFonts w:eastAsia="Calibri" w:cs="Arial"/>
          <w:szCs w:val="22"/>
          <w:lang w:eastAsia="en-US"/>
        </w:rPr>
        <w:t>benen: auf der Makro-, Meso- und Mikroebene ebenso wie auf der regionalen, nationalen und subnationalen Ebene.</w:t>
      </w:r>
    </w:p>
    <w:p w:rsidR="009C07B4" w:rsidRPr="002B720B" w:rsidRDefault="00C93429" w:rsidP="009C07B4">
      <w:pPr>
        <w:spacing w:after="120"/>
        <w:jc w:val="both"/>
        <w:rPr>
          <w:rFonts w:eastAsia="Calibri" w:cs="Arial"/>
          <w:szCs w:val="22"/>
          <w:lang w:eastAsia="en-US"/>
        </w:rPr>
      </w:pPr>
      <w:r w:rsidRPr="002B720B">
        <w:rPr>
          <w:rFonts w:eastAsia="Calibri" w:cs="Arial"/>
          <w:szCs w:val="22"/>
          <w:lang w:eastAsia="en-US"/>
        </w:rPr>
        <w:t>Auf nationaler (Fokusländer-)Ebene unterstützt es den Politik- und Stakeholderdialog ebenso wie die Wissens- und Strategieentwicklung mit konkreten und präzisen Hintergrundinformat</w:t>
      </w:r>
      <w:r w:rsidRPr="002B720B">
        <w:rPr>
          <w:rFonts w:eastAsia="Calibri" w:cs="Arial"/>
          <w:szCs w:val="22"/>
          <w:lang w:eastAsia="en-US"/>
        </w:rPr>
        <w:t>i</w:t>
      </w:r>
      <w:r w:rsidRPr="002B720B">
        <w:rPr>
          <w:rFonts w:eastAsia="Calibri" w:cs="Arial"/>
          <w:szCs w:val="22"/>
          <w:lang w:eastAsia="en-US"/>
        </w:rPr>
        <w:t>onen und Handlungskonzepten für eine optimale Nutzung der lokalen Beschäftigungseffekte nachhaltiger Energien; es hilft bei der Marktentwicklung zugunsten der identifizierten Markt- und Technologiesegmente mittels angepasster(er) Rahmenbedingungen und Förderinstr</w:t>
      </w:r>
      <w:r w:rsidRPr="002B720B">
        <w:rPr>
          <w:rFonts w:eastAsia="Calibri" w:cs="Arial"/>
          <w:szCs w:val="22"/>
          <w:lang w:eastAsia="en-US"/>
        </w:rPr>
        <w:t>u</w:t>
      </w:r>
      <w:r w:rsidRPr="002B720B">
        <w:rPr>
          <w:rFonts w:eastAsia="Calibri" w:cs="Arial"/>
          <w:szCs w:val="22"/>
          <w:lang w:eastAsia="en-US"/>
        </w:rPr>
        <w:t>mente sowie branchenspezifischer Begleitmaßnahmen und Pilotprojekte; und es fördert die Kompetenzbildung zugunsten eben jener Markt- und Technologiesegmente durch gezieltes Capacity Building für lokale Stakeholder sowie die Einführung und Erprobung von Qualität</w:t>
      </w:r>
      <w:r w:rsidRPr="002B720B">
        <w:rPr>
          <w:rFonts w:eastAsia="Calibri" w:cs="Arial"/>
          <w:szCs w:val="22"/>
          <w:lang w:eastAsia="en-US"/>
        </w:rPr>
        <w:t>s</w:t>
      </w:r>
      <w:r w:rsidRPr="002B720B">
        <w:rPr>
          <w:rFonts w:eastAsia="Calibri" w:cs="Arial"/>
          <w:szCs w:val="22"/>
          <w:lang w:eastAsia="en-US"/>
        </w:rPr>
        <w:t>standards und Qualitätssystemen für lokale Anbieter und Ausbildungsinstitutionen</w:t>
      </w:r>
      <w:r>
        <w:rPr>
          <w:rFonts w:eastAsia="Calibri" w:cs="Arial"/>
          <w:szCs w:val="22"/>
          <w:lang w:eastAsia="en-US"/>
        </w:rPr>
        <w:t>.</w:t>
      </w:r>
    </w:p>
    <w:p w:rsidR="009C07B4" w:rsidRPr="002B720B" w:rsidRDefault="00C93429" w:rsidP="009C07B4">
      <w:pPr>
        <w:spacing w:after="120"/>
        <w:jc w:val="both"/>
        <w:rPr>
          <w:rFonts w:eastAsia="Calibri" w:cs="Arial"/>
          <w:szCs w:val="22"/>
          <w:lang w:eastAsia="en-US"/>
        </w:rPr>
      </w:pPr>
      <w:r>
        <w:rPr>
          <w:rFonts w:eastAsia="Calibri" w:cs="Arial"/>
          <w:szCs w:val="22"/>
          <w:lang w:eastAsia="en-US"/>
        </w:rPr>
        <w:t>Auf regionaler (MENA-)</w:t>
      </w:r>
      <w:r w:rsidRPr="002B720B">
        <w:rPr>
          <w:rFonts w:eastAsia="Calibri" w:cs="Arial"/>
          <w:szCs w:val="22"/>
          <w:lang w:eastAsia="en-US"/>
        </w:rPr>
        <w:t>Ebene unterstützt es dagegen vor allem den Knowhow- und Erfa</w:t>
      </w:r>
      <w:r w:rsidRPr="002B720B">
        <w:rPr>
          <w:rFonts w:eastAsia="Calibri" w:cs="Arial"/>
          <w:szCs w:val="22"/>
          <w:lang w:eastAsia="en-US"/>
        </w:rPr>
        <w:t>h</w:t>
      </w:r>
      <w:r w:rsidRPr="002B720B">
        <w:rPr>
          <w:rFonts w:eastAsia="Calibri" w:cs="Arial"/>
          <w:szCs w:val="22"/>
          <w:lang w:eastAsia="en-US"/>
        </w:rPr>
        <w:t>rungsaustausch zu erfolgreichen Ansätzen</w:t>
      </w:r>
      <w:r w:rsidR="003E4CDC">
        <w:rPr>
          <w:rFonts w:eastAsia="Calibri" w:cs="Arial"/>
          <w:szCs w:val="22"/>
          <w:lang w:eastAsia="en-US"/>
        </w:rPr>
        <w:t xml:space="preserve"> und Praktiken im Bereich RE/EE-</w:t>
      </w:r>
      <w:r w:rsidRPr="002B720B">
        <w:rPr>
          <w:rFonts w:eastAsia="Calibri" w:cs="Arial"/>
          <w:szCs w:val="22"/>
          <w:lang w:eastAsia="en-US"/>
        </w:rPr>
        <w:t>Beschäftigungs- und Wertschöpfungsförderung; es fördert die Entstehung und Vertiefung länder- und sektor</w:t>
      </w:r>
      <w:r>
        <w:rPr>
          <w:rFonts w:eastAsia="Calibri" w:cs="Arial"/>
          <w:szCs w:val="22"/>
          <w:lang w:eastAsia="en-US"/>
        </w:rPr>
        <w:t>-</w:t>
      </w:r>
      <w:r w:rsidRPr="002B720B">
        <w:rPr>
          <w:rFonts w:eastAsia="Calibri" w:cs="Arial"/>
          <w:szCs w:val="22"/>
          <w:lang w:eastAsia="en-US"/>
        </w:rPr>
        <w:t>übergreifender Kooperations(platt)formen und Partnernetzwerke; und es hilft beim Poolen von Ressourcen, der Schaffung und Nutzung von Synergie- und Hebelwirkungen und der I</w:t>
      </w:r>
      <w:r w:rsidRPr="002B720B">
        <w:rPr>
          <w:rFonts w:eastAsia="Calibri" w:cs="Arial"/>
          <w:szCs w:val="22"/>
          <w:lang w:eastAsia="en-US"/>
        </w:rPr>
        <w:t>n</w:t>
      </w:r>
      <w:r w:rsidRPr="002B720B">
        <w:rPr>
          <w:rFonts w:eastAsia="Calibri" w:cs="Arial"/>
          <w:szCs w:val="22"/>
          <w:lang w:eastAsia="en-US"/>
        </w:rPr>
        <w:t>tensivierung der regionalen Zusammenarbeit in projektrelevanten Themenfeldern.</w:t>
      </w:r>
    </w:p>
    <w:p w:rsidR="009C07B4" w:rsidRPr="002B720B" w:rsidRDefault="00C93429" w:rsidP="009C07B4">
      <w:pPr>
        <w:spacing w:after="120"/>
        <w:jc w:val="both"/>
        <w:rPr>
          <w:rFonts w:eastAsia="Calibri" w:cs="Arial"/>
          <w:szCs w:val="22"/>
          <w:lang w:eastAsia="en-US"/>
        </w:rPr>
      </w:pPr>
      <w:r w:rsidRPr="002B720B">
        <w:rPr>
          <w:rFonts w:eastAsia="Calibri" w:cs="Arial"/>
          <w:szCs w:val="22"/>
          <w:lang w:eastAsia="en-US"/>
        </w:rPr>
        <w:t>Ansätze, die auf nationaler und subnationaler Ebene funktioniert haben, werden (gemeinsam mit anderen identifizierten Erfolgsbeispielen) in den regionalen und internationalen Dialog eingespeist und dadurch einem breiteren (Fach)Publikum zugänglich gemacht. Gleichzeitig werden neue Erkenntnisse und Kontakte, die in diesem Rahmen gewonnen werden konnten, für die Arbeit vor Ort nutzbar gemacht. Ein direkter horizontaler Austausch zwischen den einzelnen Fokusländern zu den jeweiligen Arbeitsschwerpunkten rundet diesen Ansatz ab.</w:t>
      </w:r>
    </w:p>
    <w:p w:rsidR="009C07B4" w:rsidRPr="002B720B" w:rsidRDefault="00C93429" w:rsidP="009C07B4">
      <w:pPr>
        <w:spacing w:after="120"/>
        <w:jc w:val="both"/>
        <w:rPr>
          <w:szCs w:val="20"/>
        </w:rPr>
      </w:pPr>
      <w:r w:rsidRPr="002B720B">
        <w:rPr>
          <w:rFonts w:eastAsia="Calibri" w:cs="Arial"/>
          <w:szCs w:val="22"/>
          <w:lang w:eastAsia="en-US"/>
        </w:rPr>
        <w:t>Infolge veränderter Rahmenbedingungen und Prioritätensetzungen sowohl im Inland als auch vor Ort kam es 2015 auf Wunsch des BMZ zu einer teilweisen Neuausrichtung des Vorhabens, die sowohl mit einer Verschlankung des Auftrags als auch mit einer Anpassung der Umsetzungsstruktur einherging. Die anfangs vorgesehene energiepolitische Beratung des zuständigen Regionalreferats wurde eingestellt, und die Umsetzung des Vorhabens in Algerien als 4. Fokusland wurde bis auf weiteres zurückgestellt. Stattdessen wurde verei</w:t>
      </w:r>
      <w:r w:rsidRPr="002B720B">
        <w:rPr>
          <w:rFonts w:eastAsia="Calibri" w:cs="Arial"/>
          <w:szCs w:val="22"/>
          <w:lang w:eastAsia="en-US"/>
        </w:rPr>
        <w:t>n</w:t>
      </w:r>
      <w:r w:rsidRPr="002B720B">
        <w:rPr>
          <w:rFonts w:eastAsia="Calibri" w:cs="Arial"/>
          <w:szCs w:val="22"/>
          <w:lang w:eastAsia="en-US"/>
        </w:rPr>
        <w:t>bart, das Gewicht der Vorortmaßnahmen zu stärken und auf die Erzielung möglichst konkr</w:t>
      </w:r>
      <w:r w:rsidRPr="002B720B">
        <w:rPr>
          <w:rFonts w:eastAsia="Calibri" w:cs="Arial"/>
          <w:szCs w:val="22"/>
          <w:lang w:eastAsia="en-US"/>
        </w:rPr>
        <w:t>e</w:t>
      </w:r>
      <w:r w:rsidRPr="002B720B">
        <w:rPr>
          <w:rFonts w:eastAsia="Calibri" w:cs="Arial"/>
          <w:szCs w:val="22"/>
          <w:lang w:eastAsia="en-US"/>
        </w:rPr>
        <w:t>ter Beschäftigungseffekte auszurichten. Dies half, den Projektansatz ebenso wie den Re</w:t>
      </w:r>
      <w:r w:rsidRPr="002B720B">
        <w:rPr>
          <w:rFonts w:eastAsia="Calibri" w:cs="Arial"/>
          <w:szCs w:val="22"/>
          <w:lang w:eastAsia="en-US"/>
        </w:rPr>
        <w:t>s</w:t>
      </w:r>
      <w:r w:rsidRPr="002B720B">
        <w:rPr>
          <w:rFonts w:eastAsia="Calibri" w:cs="Arial"/>
          <w:szCs w:val="22"/>
          <w:lang w:eastAsia="en-US"/>
        </w:rPr>
        <w:t>sourceneinsatz entsprechend zu fokussieren.</w:t>
      </w:r>
    </w:p>
    <w:p w:rsidR="009C07B4" w:rsidRDefault="00C93429" w:rsidP="009C07B4">
      <w:pPr>
        <w:spacing w:after="120"/>
        <w:jc w:val="both"/>
        <w:rPr>
          <w:rFonts w:eastAsia="Calibri" w:cs="Arial"/>
          <w:szCs w:val="22"/>
          <w:lang w:eastAsia="en-US"/>
        </w:rPr>
      </w:pPr>
      <w:r w:rsidRPr="002B720B">
        <w:rPr>
          <w:rFonts w:eastAsia="Calibri" w:cs="Arial"/>
          <w:szCs w:val="22"/>
          <w:lang w:eastAsia="en-US"/>
        </w:rPr>
        <w:t>Ein Meilenstein hierfür war</w:t>
      </w:r>
      <w:r>
        <w:rPr>
          <w:rFonts w:eastAsia="Calibri" w:cs="Arial"/>
          <w:szCs w:val="22"/>
          <w:lang w:eastAsia="en-US"/>
        </w:rPr>
        <w:t xml:space="preserve"> </w:t>
      </w:r>
      <w:r w:rsidRPr="002B720B">
        <w:rPr>
          <w:rFonts w:eastAsia="Calibri" w:cs="Arial"/>
          <w:szCs w:val="22"/>
          <w:lang w:eastAsia="en-US"/>
        </w:rPr>
        <w:t xml:space="preserve">der Abschluss eines Finanzierungsabkommens mit RCREEE im Juni 2015, das fortan als Antenne des Vorhabens für die Arbeit in Ägypten dient und zugleich als privilegierter Partner für die Regionalkooperation fungiert. Hierfür werden RCREEE aus den Mitteln des Vorhabens zwei neue Mitarbeiter in Vollzeit zur Verfügung gestellt, weitere Mitarbeiter unterstützen das Vorhaben in Teilzeit </w:t>
      </w:r>
    </w:p>
    <w:p w:rsidR="009C07B4" w:rsidRPr="002B720B" w:rsidRDefault="00C93429" w:rsidP="00DD3EE4">
      <w:pPr>
        <w:spacing w:after="120"/>
        <w:jc w:val="both"/>
        <w:rPr>
          <w:b/>
          <w:i/>
        </w:rPr>
      </w:pPr>
      <w:r w:rsidRPr="002B720B">
        <w:rPr>
          <w:b/>
          <w:i/>
        </w:rPr>
        <w:t>B.2.2</w:t>
      </w:r>
      <w:r w:rsidRPr="002B720B">
        <w:rPr>
          <w:b/>
          <w:i/>
        </w:rPr>
        <w:tab/>
        <w:t>Zielgruppen, Träger- und Partnerstruktur</w:t>
      </w:r>
    </w:p>
    <w:p w:rsidR="009C07B4" w:rsidRPr="002B720B" w:rsidRDefault="00C93429" w:rsidP="009C07B4">
      <w:pPr>
        <w:autoSpaceDE w:val="0"/>
        <w:autoSpaceDN w:val="0"/>
        <w:adjustRightInd w:val="0"/>
        <w:spacing w:after="120"/>
        <w:jc w:val="both"/>
        <w:rPr>
          <w:rFonts w:cs="Arial"/>
          <w:szCs w:val="22"/>
        </w:rPr>
      </w:pPr>
      <w:r w:rsidRPr="002B720B">
        <w:rPr>
          <w:rFonts w:cs="Arial"/>
          <w:szCs w:val="22"/>
        </w:rPr>
        <w:t>Das Regionalvorhaben RE-ACTIVATE wird ohne politischen Träger durchgeführt.</w:t>
      </w:r>
    </w:p>
    <w:p w:rsidR="009C07B4" w:rsidRPr="002B720B" w:rsidRDefault="00C93429" w:rsidP="009C07B4">
      <w:pPr>
        <w:autoSpaceDE w:val="0"/>
        <w:autoSpaceDN w:val="0"/>
        <w:adjustRightInd w:val="0"/>
        <w:spacing w:after="120"/>
        <w:jc w:val="both"/>
        <w:rPr>
          <w:rFonts w:eastAsia="Calibri" w:cs="Arial"/>
          <w:szCs w:val="22"/>
          <w:lang w:eastAsia="en-US"/>
        </w:rPr>
      </w:pPr>
      <w:r w:rsidRPr="002B720B">
        <w:rPr>
          <w:rFonts w:cs="Arial"/>
          <w:szCs w:val="22"/>
        </w:rPr>
        <w:t>Aufgrund der o.g. Kernprinzipien des Ansatzes (</w:t>
      </w:r>
      <w:r w:rsidRPr="002B720B">
        <w:rPr>
          <w:rFonts w:eastAsia="Calibri" w:cs="Arial"/>
          <w:szCs w:val="22"/>
          <w:lang w:eastAsia="en-US"/>
        </w:rPr>
        <w:t>Subsidiarität,</w:t>
      </w:r>
      <w:r w:rsidRPr="002B720B">
        <w:rPr>
          <w:rFonts w:cs="Arial"/>
          <w:szCs w:val="22"/>
        </w:rPr>
        <w:t xml:space="preserve"> Komplementarität, s</w:t>
      </w:r>
      <w:r w:rsidRPr="002B720B">
        <w:rPr>
          <w:rFonts w:eastAsia="Calibri" w:cs="Arial"/>
          <w:szCs w:val="22"/>
          <w:lang w:eastAsia="en-US"/>
        </w:rPr>
        <w:t>ynerget</w:t>
      </w:r>
      <w:r w:rsidRPr="002B720B">
        <w:rPr>
          <w:rFonts w:eastAsia="Calibri" w:cs="Arial"/>
          <w:szCs w:val="22"/>
          <w:lang w:eastAsia="en-US"/>
        </w:rPr>
        <w:t>i</w:t>
      </w:r>
      <w:r w:rsidRPr="002B720B">
        <w:rPr>
          <w:rFonts w:eastAsia="Calibri" w:cs="Arial"/>
          <w:szCs w:val="22"/>
          <w:lang w:eastAsia="en-US"/>
        </w:rPr>
        <w:t>sches Arbeiten)</w:t>
      </w:r>
      <w:r>
        <w:rPr>
          <w:rFonts w:eastAsia="Calibri" w:cs="Arial"/>
          <w:szCs w:val="22"/>
          <w:lang w:eastAsia="en-US"/>
        </w:rPr>
        <w:t xml:space="preserve"> </w:t>
      </w:r>
      <w:r w:rsidRPr="002B720B">
        <w:rPr>
          <w:rFonts w:eastAsia="Calibri" w:cs="Arial"/>
          <w:szCs w:val="22"/>
          <w:lang w:eastAsia="en-US"/>
        </w:rPr>
        <w:t>strebt RE-ACTIVATE eine möglichst enge An- und Einbindung an bzw. in die existierende Partner- und Projektstruktur der deutschen EZ/IZ vor Ort an. Die Länder- und Regionalvorhaben der deutschen Außenstruktur im Allgemeinen und die der GIZ im B</w:t>
      </w:r>
      <w:r w:rsidRPr="002B720B">
        <w:rPr>
          <w:rFonts w:eastAsia="Calibri" w:cs="Arial"/>
          <w:szCs w:val="22"/>
          <w:lang w:eastAsia="en-US"/>
        </w:rPr>
        <w:t>e</w:t>
      </w:r>
      <w:r w:rsidRPr="002B720B">
        <w:rPr>
          <w:rFonts w:eastAsia="Calibri" w:cs="Arial"/>
          <w:szCs w:val="22"/>
          <w:lang w:eastAsia="en-US"/>
        </w:rPr>
        <w:t>sonderen sind ein „natürlicher“ erster Anlauf- und Bezugspunkt des Vorhabens.</w:t>
      </w:r>
    </w:p>
    <w:p w:rsidR="009C07B4" w:rsidRPr="002B720B" w:rsidRDefault="00C93429" w:rsidP="009C07B4">
      <w:pPr>
        <w:autoSpaceDE w:val="0"/>
        <w:autoSpaceDN w:val="0"/>
        <w:adjustRightInd w:val="0"/>
        <w:spacing w:after="120"/>
        <w:jc w:val="both"/>
        <w:rPr>
          <w:rFonts w:cs="Arial"/>
          <w:szCs w:val="22"/>
        </w:rPr>
      </w:pPr>
      <w:r w:rsidRPr="002B720B">
        <w:rPr>
          <w:rFonts w:cs="Arial"/>
          <w:szCs w:val="22"/>
        </w:rPr>
        <w:t>Die wichtigsten Partner auf nationaler Ebene sind die relevanten Fachministerien (für Ene</w:t>
      </w:r>
      <w:r w:rsidRPr="002B720B">
        <w:rPr>
          <w:rFonts w:cs="Arial"/>
          <w:szCs w:val="22"/>
        </w:rPr>
        <w:t>r</w:t>
      </w:r>
      <w:r w:rsidRPr="002B720B">
        <w:rPr>
          <w:rFonts w:cs="Arial"/>
          <w:szCs w:val="22"/>
        </w:rPr>
        <w:t>gie, Industrie, Bildung/Forschung, Arbeit/Beschäftigung, Wohnungsbau, Landwirtschaft, län</w:t>
      </w:r>
      <w:r w:rsidRPr="002B720B">
        <w:rPr>
          <w:rFonts w:cs="Arial"/>
          <w:szCs w:val="22"/>
        </w:rPr>
        <w:t>d</w:t>
      </w:r>
      <w:r w:rsidRPr="002B720B">
        <w:rPr>
          <w:rFonts w:cs="Arial"/>
          <w:szCs w:val="22"/>
        </w:rPr>
        <w:t>liche Entwicklung etc.) sowie deren jeweils nachgeordnete Strukturen (wie Energie-, Invest</w:t>
      </w:r>
      <w:r w:rsidRPr="002B720B">
        <w:rPr>
          <w:rFonts w:cs="Arial"/>
          <w:szCs w:val="22"/>
        </w:rPr>
        <w:t>i</w:t>
      </w:r>
      <w:r w:rsidRPr="002B720B">
        <w:rPr>
          <w:rFonts w:cs="Arial"/>
          <w:szCs w:val="22"/>
        </w:rPr>
        <w:t>tions-, Wirtschaftsförder- und Berufsbildungseinrichtungen). Viele dieser Institutionen koop</w:t>
      </w:r>
      <w:r w:rsidRPr="002B720B">
        <w:rPr>
          <w:rFonts w:cs="Arial"/>
          <w:szCs w:val="22"/>
        </w:rPr>
        <w:t>e</w:t>
      </w:r>
      <w:r w:rsidRPr="002B720B">
        <w:rPr>
          <w:rFonts w:cs="Arial"/>
          <w:szCs w:val="22"/>
        </w:rPr>
        <w:t>rieren bereits mit der GIZ, aber nicht unbedingt immer miteinander. Zu Schlüsselpartnern des Vorhabens gehören weiterhin Unternehmer- und Branchenverbände sowie Bildungseinric</w:t>
      </w:r>
      <w:r w:rsidRPr="002B720B">
        <w:rPr>
          <w:rFonts w:cs="Arial"/>
          <w:szCs w:val="22"/>
        </w:rPr>
        <w:t>h</w:t>
      </w:r>
      <w:r w:rsidRPr="002B720B">
        <w:rPr>
          <w:rFonts w:cs="Arial"/>
          <w:szCs w:val="22"/>
        </w:rPr>
        <w:t>tungen und Wissenschaftsvertreter. Wichtigster Partner auf regionaler Ebene ist wie erwähnt RCREEE</w:t>
      </w:r>
      <w:r>
        <w:rPr>
          <w:rFonts w:cs="Arial"/>
          <w:szCs w:val="22"/>
        </w:rPr>
        <w:t xml:space="preserve"> </w:t>
      </w:r>
      <w:r w:rsidRPr="002B720B">
        <w:rPr>
          <w:rFonts w:cs="Arial"/>
          <w:szCs w:val="22"/>
        </w:rPr>
        <w:t xml:space="preserve">und auf internationaler Ebene IRENA. </w:t>
      </w:r>
      <w:r w:rsidR="0024747D">
        <w:rPr>
          <w:rFonts w:cs="Arial"/>
          <w:szCs w:val="22"/>
        </w:rPr>
        <w:t xml:space="preserve"> </w:t>
      </w:r>
    </w:p>
    <w:p w:rsidR="009C07B4" w:rsidRPr="002B720B" w:rsidRDefault="00C93429" w:rsidP="009C07B4">
      <w:pPr>
        <w:pStyle w:val="berschrift2"/>
        <w:jc w:val="both"/>
        <w:rPr>
          <w:b/>
          <w:i/>
        </w:rPr>
      </w:pPr>
      <w:bookmarkStart w:id="13" w:name="_Toc460339712"/>
      <w:r w:rsidRPr="002B720B">
        <w:rPr>
          <w:b/>
          <w:i/>
        </w:rPr>
        <w:t>B.2.3</w:t>
      </w:r>
      <w:r w:rsidRPr="002B720B">
        <w:rPr>
          <w:b/>
          <w:i/>
        </w:rPr>
        <w:tab/>
        <w:t>Zielerreichung</w:t>
      </w:r>
      <w:bookmarkEnd w:id="13"/>
    </w:p>
    <w:p w:rsidR="009C07B4" w:rsidRPr="002B720B" w:rsidRDefault="00C93429" w:rsidP="009C07B4">
      <w:pPr>
        <w:spacing w:after="120"/>
        <w:jc w:val="both"/>
        <w:rPr>
          <w:rFonts w:cs="Arial"/>
          <w:b/>
          <w:szCs w:val="22"/>
        </w:rPr>
      </w:pPr>
      <w:r w:rsidRPr="002B720B">
        <w:rPr>
          <w:rFonts w:cs="Arial"/>
          <w:b/>
          <w:szCs w:val="22"/>
        </w:rPr>
        <w:t>Das Projektziel lautet: „Die Voraussetzungen für die Entwicklung der Märkte für b</w:t>
      </w:r>
      <w:r w:rsidRPr="002B720B">
        <w:rPr>
          <w:rFonts w:cs="Arial"/>
          <w:b/>
          <w:szCs w:val="22"/>
        </w:rPr>
        <w:t>e</w:t>
      </w:r>
      <w:r w:rsidRPr="002B720B">
        <w:rPr>
          <w:rFonts w:cs="Arial"/>
          <w:b/>
          <w:szCs w:val="22"/>
        </w:rPr>
        <w:t xml:space="preserve">schäftigungsintensive </w:t>
      </w:r>
      <w:r>
        <w:rPr>
          <w:rFonts w:cs="Arial"/>
          <w:b/>
          <w:szCs w:val="22"/>
        </w:rPr>
        <w:t>RE/EE</w:t>
      </w:r>
      <w:r w:rsidRPr="002B720B">
        <w:rPr>
          <w:rFonts w:cs="Arial"/>
          <w:b/>
          <w:szCs w:val="22"/>
        </w:rPr>
        <w:t>-Technologien im MENA Raum sind verbessert."</w:t>
      </w:r>
    </w:p>
    <w:p w:rsidR="009C07B4" w:rsidRPr="00BA264C" w:rsidRDefault="00C93429" w:rsidP="009C07B4">
      <w:pPr>
        <w:autoSpaceDE w:val="0"/>
        <w:autoSpaceDN w:val="0"/>
        <w:adjustRightInd w:val="0"/>
        <w:spacing w:after="120"/>
        <w:jc w:val="both"/>
        <w:rPr>
          <w:rFonts w:eastAsia="Calibri" w:cs="Arial"/>
          <w:b/>
          <w:szCs w:val="22"/>
          <w:lang w:eastAsia="en-US"/>
        </w:rPr>
      </w:pPr>
      <w:r w:rsidRPr="002B720B">
        <w:rPr>
          <w:rFonts w:eastAsia="Calibri" w:cs="Arial"/>
          <w:b/>
          <w:szCs w:val="22"/>
          <w:lang w:eastAsia="en-US"/>
        </w:rPr>
        <w:t xml:space="preserve">Indikator 1: </w:t>
      </w:r>
      <w:r w:rsidRPr="004B27A9">
        <w:rPr>
          <w:rFonts w:eastAsia="Calibri" w:cs="Arial"/>
          <w:szCs w:val="22"/>
          <w:lang w:eastAsia="en-US"/>
        </w:rPr>
        <w:t>In 2 Ländern wurden im Dialog zwischen Regierung, Wirtschaft und Wisse</w:t>
      </w:r>
      <w:r w:rsidRPr="004B27A9">
        <w:rPr>
          <w:rFonts w:eastAsia="Calibri" w:cs="Arial"/>
          <w:szCs w:val="22"/>
          <w:lang w:eastAsia="en-US"/>
        </w:rPr>
        <w:t>n</w:t>
      </w:r>
      <w:r w:rsidRPr="004B27A9">
        <w:rPr>
          <w:rFonts w:eastAsia="Calibri" w:cs="Arial"/>
          <w:szCs w:val="22"/>
          <w:lang w:eastAsia="en-US"/>
        </w:rPr>
        <w:t>schaft 3 konkrete Maßnahmen zur Förderung beschäftigungsintensiver RE/EE Technologien ausgewählt</w:t>
      </w:r>
      <w:r>
        <w:rPr>
          <w:rFonts w:cs="Arial"/>
          <w:b/>
          <w:szCs w:val="22"/>
        </w:rPr>
        <w:t xml:space="preserve"> (</w:t>
      </w:r>
      <w:r w:rsidRPr="00BA264C">
        <w:rPr>
          <w:rFonts w:cs="Arial"/>
          <w:b/>
          <w:szCs w:val="22"/>
        </w:rPr>
        <w:t>Basiswert: 0; Zielwert: 3; Istwert: 1</w:t>
      </w:r>
      <w:r>
        <w:rPr>
          <w:rFonts w:cs="Arial"/>
          <w:b/>
          <w:szCs w:val="22"/>
        </w:rPr>
        <w:t>2</w:t>
      </w:r>
      <w:r w:rsidRPr="00BA264C">
        <w:rPr>
          <w:rFonts w:cs="Arial"/>
          <w:b/>
          <w:szCs w:val="22"/>
        </w:rPr>
        <w:t xml:space="preserve"> </w:t>
      </w:r>
      <w:r w:rsidRPr="0073161C">
        <w:rPr>
          <w:rFonts w:cs="Arial"/>
          <w:szCs w:val="22"/>
        </w:rPr>
        <w:t>konkrete Maßnahmen ausgewählt</w:t>
      </w:r>
      <w:r>
        <w:rPr>
          <w:rFonts w:cs="Arial"/>
          <w:b/>
          <w:szCs w:val="22"/>
        </w:rPr>
        <w:t>).</w:t>
      </w:r>
    </w:p>
    <w:p w:rsidR="009C07B4" w:rsidRPr="002B720B" w:rsidRDefault="00C93429" w:rsidP="009C07B4">
      <w:pPr>
        <w:spacing w:after="120"/>
        <w:jc w:val="both"/>
        <w:rPr>
          <w:rFonts w:cs="Arial"/>
          <w:szCs w:val="22"/>
        </w:rPr>
      </w:pPr>
      <w:r w:rsidRPr="002B720B">
        <w:rPr>
          <w:rFonts w:cs="Arial"/>
          <w:szCs w:val="22"/>
        </w:rPr>
        <w:t>Auftragsgemäß werden zur Erreichung dieses Indikators Stakeholderdialoge in den Foku</w:t>
      </w:r>
      <w:r w:rsidRPr="002B720B">
        <w:rPr>
          <w:rFonts w:cs="Arial"/>
          <w:szCs w:val="22"/>
        </w:rPr>
        <w:t>s</w:t>
      </w:r>
      <w:r w:rsidRPr="002B720B">
        <w:rPr>
          <w:rFonts w:cs="Arial"/>
          <w:szCs w:val="22"/>
        </w:rPr>
        <w:t xml:space="preserve">ländern (sowie auf Regionalebene, siehe Indikator 4) organisiert, in deren Rahmen Ansätze und Methoden für eine bessere Nutzung der </w:t>
      </w:r>
      <w:r w:rsidRPr="002B720B">
        <w:rPr>
          <w:rFonts w:eastAsia="Calibri" w:cs="Arial"/>
          <w:szCs w:val="22"/>
          <w:lang w:eastAsia="en-US"/>
        </w:rPr>
        <w:t>beschäftigungs- und einkommensfördernden Wirkungen von RE/EE</w:t>
      </w:r>
      <w:r w:rsidRPr="002B720B">
        <w:rPr>
          <w:rFonts w:cs="Arial"/>
          <w:szCs w:val="22"/>
        </w:rPr>
        <w:t xml:space="preserve"> diskutiert werden und die ihrerseits zu einer qualitativen Verbess</w:t>
      </w:r>
      <w:r w:rsidRPr="002B720B">
        <w:rPr>
          <w:rFonts w:cs="Arial"/>
          <w:szCs w:val="22"/>
        </w:rPr>
        <w:t>e</w:t>
      </w:r>
      <w:r w:rsidRPr="002B720B">
        <w:rPr>
          <w:rFonts w:cs="Arial"/>
          <w:szCs w:val="22"/>
        </w:rPr>
        <w:t xml:space="preserve">rung der energiepolitischen Prozesse beitragen. Hierzu gehört auch eine gezielte </w:t>
      </w:r>
      <w:r w:rsidRPr="002B720B">
        <w:rPr>
          <w:rFonts w:eastAsia="Calibri" w:cs="Arial"/>
          <w:szCs w:val="22"/>
          <w:lang w:eastAsia="en-US"/>
        </w:rPr>
        <w:t>Bewuss</w:t>
      </w:r>
      <w:r w:rsidRPr="002B720B">
        <w:rPr>
          <w:rFonts w:eastAsia="Calibri" w:cs="Arial"/>
          <w:szCs w:val="22"/>
          <w:lang w:eastAsia="en-US"/>
        </w:rPr>
        <w:t>t</w:t>
      </w:r>
      <w:r w:rsidRPr="002B720B">
        <w:rPr>
          <w:rFonts w:eastAsia="Calibri" w:cs="Arial"/>
          <w:szCs w:val="22"/>
          <w:lang w:eastAsia="en-US"/>
        </w:rPr>
        <w:t>machung der vielen Trade-offs und Zielkonflikte, die zwischen den verschiedenen Han</w:t>
      </w:r>
      <w:r w:rsidRPr="002B720B">
        <w:rPr>
          <w:rFonts w:eastAsia="Calibri" w:cs="Arial"/>
          <w:szCs w:val="22"/>
          <w:lang w:eastAsia="en-US"/>
        </w:rPr>
        <w:t>d</w:t>
      </w:r>
      <w:r w:rsidRPr="002B720B">
        <w:rPr>
          <w:rFonts w:eastAsia="Calibri" w:cs="Arial"/>
          <w:szCs w:val="22"/>
          <w:lang w:eastAsia="en-US"/>
        </w:rPr>
        <w:t>lungsoptionen und Zielvorgaben der Partner existieren und die oft nur halb erkannt werden.</w:t>
      </w:r>
    </w:p>
    <w:p w:rsidR="00FC1FC8" w:rsidRDefault="00C93429" w:rsidP="009C07B4">
      <w:pPr>
        <w:spacing w:after="120"/>
        <w:jc w:val="both"/>
        <w:rPr>
          <w:rFonts w:eastAsia="Calibri" w:cs="Arial"/>
          <w:szCs w:val="22"/>
          <w:lang w:eastAsia="en-US"/>
        </w:rPr>
      </w:pPr>
      <w:r w:rsidRPr="002B720B">
        <w:rPr>
          <w:rFonts w:eastAsia="Calibri" w:cs="Arial"/>
          <w:szCs w:val="22"/>
          <w:lang w:eastAsia="en-US"/>
        </w:rPr>
        <w:t xml:space="preserve">Hierzu führt das Vorhaben gezielte Analysen qualitativer </w:t>
      </w:r>
      <w:r w:rsidRPr="002B720B">
        <w:rPr>
          <w:rFonts w:eastAsia="Calibri" w:cs="Arial"/>
          <w:i/>
          <w:szCs w:val="22"/>
          <w:lang w:eastAsia="en-US"/>
        </w:rPr>
        <w:t>und</w:t>
      </w:r>
      <w:r w:rsidRPr="002B720B">
        <w:rPr>
          <w:rFonts w:eastAsia="Calibri" w:cs="Arial"/>
          <w:szCs w:val="22"/>
          <w:lang w:eastAsia="en-US"/>
        </w:rPr>
        <w:t xml:space="preserve"> quant</w:t>
      </w:r>
      <w:r>
        <w:rPr>
          <w:rFonts w:eastAsia="Calibri" w:cs="Arial"/>
          <w:szCs w:val="22"/>
          <w:lang w:eastAsia="en-US"/>
        </w:rPr>
        <w:t>it</w:t>
      </w:r>
      <w:r w:rsidRPr="002B720B">
        <w:rPr>
          <w:rFonts w:eastAsia="Calibri" w:cs="Arial"/>
          <w:szCs w:val="22"/>
          <w:lang w:eastAsia="en-US"/>
        </w:rPr>
        <w:t>ativer Natur für einzelne Länder, Markt- &amp; Technologiesegmente sowie Policy-Ansätze durch, mit dem Ziel, bisherige Beschäftigungs</w:t>
      </w:r>
      <w:r w:rsidRPr="002B720B">
        <w:rPr>
          <w:rFonts w:eastAsia="Calibri" w:cs="Arial"/>
          <w:i/>
          <w:szCs w:val="22"/>
          <w:lang w:eastAsia="en-US"/>
        </w:rPr>
        <w:t>effekte</w:t>
      </w:r>
      <w:r w:rsidRPr="002B720B">
        <w:rPr>
          <w:rFonts w:eastAsia="Calibri" w:cs="Arial"/>
          <w:szCs w:val="22"/>
          <w:lang w:eastAsia="en-US"/>
        </w:rPr>
        <w:t xml:space="preserve"> sowie mögliche Beschäftigungs</w:t>
      </w:r>
      <w:r w:rsidRPr="002B720B">
        <w:rPr>
          <w:rFonts w:eastAsia="Calibri" w:cs="Arial"/>
          <w:i/>
          <w:szCs w:val="22"/>
          <w:lang w:eastAsia="en-US"/>
        </w:rPr>
        <w:t>potentiale</w:t>
      </w:r>
      <w:r w:rsidRPr="002B720B">
        <w:rPr>
          <w:rFonts w:eastAsia="Calibri" w:cs="Arial"/>
          <w:szCs w:val="22"/>
          <w:lang w:eastAsia="en-US"/>
        </w:rPr>
        <w:t xml:space="preserve"> korrekt und präzise zu e</w:t>
      </w:r>
      <w:r w:rsidRPr="002B720B">
        <w:rPr>
          <w:rFonts w:eastAsia="Calibri" w:cs="Arial"/>
          <w:szCs w:val="22"/>
          <w:lang w:eastAsia="en-US"/>
        </w:rPr>
        <w:t>r</w:t>
      </w:r>
      <w:r w:rsidRPr="002B720B">
        <w:rPr>
          <w:rFonts w:eastAsia="Calibri" w:cs="Arial"/>
          <w:szCs w:val="22"/>
          <w:lang w:eastAsia="en-US"/>
        </w:rPr>
        <w:t xml:space="preserve">fassen, diese Befunde nach einem klaren und kohärenten Schema auszuwerten und diese Erkenntnisse wiederum in konkrete und </w:t>
      </w:r>
      <w:r>
        <w:rPr>
          <w:rFonts w:eastAsia="Calibri" w:cs="Arial"/>
          <w:szCs w:val="22"/>
          <w:lang w:eastAsia="en-US"/>
        </w:rPr>
        <w:t>praxis</w:t>
      </w:r>
      <w:r w:rsidRPr="002B720B">
        <w:rPr>
          <w:rFonts w:eastAsia="Calibri" w:cs="Arial"/>
          <w:szCs w:val="22"/>
          <w:lang w:eastAsia="en-US"/>
        </w:rPr>
        <w:t>orientierte Empfehlungen zu übersetzen.</w:t>
      </w:r>
      <w:r w:rsidR="00FC1FC8">
        <w:rPr>
          <w:rFonts w:eastAsia="Calibri" w:cs="Arial"/>
          <w:szCs w:val="22"/>
          <w:lang w:eastAsia="en-US"/>
        </w:rPr>
        <w:t xml:space="preserve"> </w:t>
      </w:r>
    </w:p>
    <w:p w:rsidR="009C07B4" w:rsidRPr="002B720B" w:rsidRDefault="00FC1FC8" w:rsidP="009C07B4">
      <w:pPr>
        <w:spacing w:after="120"/>
        <w:jc w:val="both"/>
        <w:rPr>
          <w:rFonts w:eastAsia="Calibri" w:cs="Arial"/>
          <w:szCs w:val="22"/>
          <w:lang w:eastAsia="en-US"/>
        </w:rPr>
      </w:pPr>
      <w:r>
        <w:rPr>
          <w:rFonts w:eastAsia="Calibri" w:cs="Arial"/>
          <w:szCs w:val="22"/>
          <w:lang w:eastAsia="en-US"/>
        </w:rPr>
        <w:t>Dabei ist die zum Teil schlechte Datenlage in allen drei Fokusländer</w:t>
      </w:r>
      <w:r w:rsidR="00B93E7C">
        <w:rPr>
          <w:rFonts w:eastAsia="Calibri" w:cs="Arial"/>
          <w:szCs w:val="22"/>
          <w:lang w:eastAsia="en-US"/>
        </w:rPr>
        <w:t>n</w:t>
      </w:r>
      <w:r>
        <w:rPr>
          <w:rFonts w:eastAsia="Calibri" w:cs="Arial"/>
          <w:szCs w:val="22"/>
          <w:lang w:eastAsia="en-US"/>
        </w:rPr>
        <w:t xml:space="preserve"> eine besondere He</w:t>
      </w:r>
      <w:r>
        <w:rPr>
          <w:rFonts w:eastAsia="Calibri" w:cs="Arial"/>
          <w:szCs w:val="22"/>
          <w:lang w:eastAsia="en-US"/>
        </w:rPr>
        <w:t>r</w:t>
      </w:r>
      <w:r>
        <w:rPr>
          <w:rFonts w:eastAsia="Calibri" w:cs="Arial"/>
          <w:szCs w:val="22"/>
          <w:lang w:eastAsia="en-US"/>
        </w:rPr>
        <w:t xml:space="preserve">ausforderungen für die </w:t>
      </w:r>
      <w:r w:rsidR="00B93E7C">
        <w:rPr>
          <w:rFonts w:eastAsia="Calibri" w:cs="Arial"/>
          <w:szCs w:val="22"/>
          <w:lang w:eastAsia="en-US"/>
        </w:rPr>
        <w:t>E</w:t>
      </w:r>
      <w:r>
        <w:rPr>
          <w:rFonts w:eastAsia="Calibri" w:cs="Arial"/>
          <w:szCs w:val="22"/>
          <w:lang w:eastAsia="en-US"/>
        </w:rPr>
        <w:t xml:space="preserve">rstellung von quantitativen Studien. Daten sind </w:t>
      </w:r>
      <w:r w:rsidRPr="00B76281">
        <w:rPr>
          <w:rFonts w:eastAsia="Calibri" w:cs="Arial"/>
          <w:szCs w:val="22"/>
          <w:lang w:eastAsia="en-US"/>
        </w:rPr>
        <w:t>entweder nicht vo</w:t>
      </w:r>
      <w:r w:rsidRPr="00B76281">
        <w:rPr>
          <w:rFonts w:eastAsia="Calibri" w:cs="Arial"/>
          <w:szCs w:val="22"/>
          <w:lang w:eastAsia="en-US"/>
        </w:rPr>
        <w:t>r</w:t>
      </w:r>
      <w:r w:rsidRPr="00B76281">
        <w:rPr>
          <w:rFonts w:eastAsia="Calibri" w:cs="Arial"/>
          <w:szCs w:val="22"/>
          <w:lang w:eastAsia="en-US"/>
        </w:rPr>
        <w:t xml:space="preserve">handen oder für unsere </w:t>
      </w:r>
      <w:r w:rsidR="006129A7" w:rsidRPr="00B76281">
        <w:rPr>
          <w:rFonts w:eastAsia="Calibri" w:cs="Arial"/>
          <w:szCs w:val="22"/>
          <w:lang w:eastAsia="en-US"/>
        </w:rPr>
        <w:t>Auftragnehmer</w:t>
      </w:r>
      <w:r w:rsidRPr="00B76281">
        <w:rPr>
          <w:rFonts w:eastAsia="Calibri" w:cs="Arial"/>
          <w:szCs w:val="22"/>
          <w:lang w:eastAsia="en-US"/>
        </w:rPr>
        <w:t xml:space="preserve"> nicht zugänglich. Zudem ist das Expertenangebot generell </w:t>
      </w:r>
      <w:r w:rsidR="007B5A79" w:rsidRPr="00B76281">
        <w:rPr>
          <w:rFonts w:eastAsia="Calibri" w:cs="Arial"/>
          <w:szCs w:val="22"/>
          <w:lang w:eastAsia="en-US"/>
        </w:rPr>
        <w:t>klein</w:t>
      </w:r>
      <w:r w:rsidRPr="00B76281">
        <w:rPr>
          <w:rFonts w:eastAsia="Calibri" w:cs="Arial"/>
          <w:szCs w:val="22"/>
          <w:lang w:eastAsia="en-US"/>
        </w:rPr>
        <w:t xml:space="preserve"> und deren Knowhow und Erfahrung bezüglich unserer Fragestellung noch g</w:t>
      </w:r>
      <w:r w:rsidRPr="00B76281">
        <w:rPr>
          <w:rFonts w:eastAsia="Calibri" w:cs="Arial"/>
          <w:szCs w:val="22"/>
          <w:lang w:eastAsia="en-US"/>
        </w:rPr>
        <w:t>e</w:t>
      </w:r>
      <w:r w:rsidRPr="00B76281">
        <w:rPr>
          <w:rFonts w:eastAsia="Calibri" w:cs="Arial"/>
          <w:szCs w:val="22"/>
          <w:lang w:eastAsia="en-US"/>
        </w:rPr>
        <w:t>ring. Dies ist ein Grund</w:t>
      </w:r>
      <w:r w:rsidR="00DE5DE1">
        <w:rPr>
          <w:rFonts w:eastAsia="Calibri" w:cs="Arial"/>
          <w:szCs w:val="22"/>
          <w:lang w:eastAsia="en-US"/>
        </w:rPr>
        <w:t>,</w:t>
      </w:r>
      <w:r w:rsidRPr="00B76281">
        <w:rPr>
          <w:rFonts w:eastAsia="Calibri" w:cs="Arial"/>
          <w:szCs w:val="22"/>
          <w:lang w:eastAsia="en-US"/>
        </w:rPr>
        <w:t xml:space="preserve"> warum RE</w:t>
      </w:r>
      <w:r w:rsidR="00B93E7C" w:rsidRPr="00B76281">
        <w:rPr>
          <w:rFonts w:eastAsia="Calibri" w:cs="Arial"/>
          <w:szCs w:val="22"/>
          <w:lang w:eastAsia="en-US"/>
        </w:rPr>
        <w:t>-</w:t>
      </w:r>
      <w:r w:rsidRPr="00B76281">
        <w:rPr>
          <w:rFonts w:eastAsia="Calibri" w:cs="Arial"/>
          <w:szCs w:val="22"/>
          <w:lang w:eastAsia="en-US"/>
        </w:rPr>
        <w:t xml:space="preserve">ACTIVATE auf die </w:t>
      </w:r>
      <w:r w:rsidR="006129A7" w:rsidRPr="00B76281">
        <w:rPr>
          <w:rFonts w:eastAsia="Calibri" w:cs="Arial"/>
          <w:szCs w:val="22"/>
          <w:lang w:eastAsia="en-US"/>
        </w:rPr>
        <w:t>Zusammenarbeit</w:t>
      </w:r>
      <w:r w:rsidRPr="00B76281">
        <w:rPr>
          <w:rFonts w:eastAsia="Calibri" w:cs="Arial"/>
          <w:szCs w:val="22"/>
          <w:lang w:eastAsia="en-US"/>
        </w:rPr>
        <w:t xml:space="preserve"> in Konsortien von</w:t>
      </w:r>
      <w:r>
        <w:rPr>
          <w:rFonts w:eastAsia="Calibri" w:cs="Arial"/>
          <w:szCs w:val="22"/>
          <w:lang w:eastAsia="en-US"/>
        </w:rPr>
        <w:t xml:space="preserve"> Beratern setzt, um so einen Knowhow</w:t>
      </w:r>
      <w:r w:rsidR="00B93E7C">
        <w:rPr>
          <w:rFonts w:eastAsia="Calibri" w:cs="Arial"/>
          <w:szCs w:val="22"/>
          <w:lang w:eastAsia="en-US"/>
        </w:rPr>
        <w:t>-T</w:t>
      </w:r>
      <w:r>
        <w:rPr>
          <w:rFonts w:eastAsia="Calibri" w:cs="Arial"/>
          <w:szCs w:val="22"/>
          <w:lang w:eastAsia="en-US"/>
        </w:rPr>
        <w:t xml:space="preserve">ransfer in den Beratersektor zu erwirken. </w:t>
      </w:r>
    </w:p>
    <w:p w:rsidR="009C07B4" w:rsidRPr="002B720B" w:rsidRDefault="00C93429" w:rsidP="009C07B4">
      <w:pPr>
        <w:spacing w:after="120"/>
        <w:jc w:val="both"/>
        <w:rPr>
          <w:rFonts w:eastAsia="Calibri" w:cs="Arial"/>
          <w:szCs w:val="22"/>
          <w:lang w:eastAsia="en-US"/>
        </w:rPr>
      </w:pPr>
      <w:r w:rsidRPr="002B720B">
        <w:rPr>
          <w:rFonts w:eastAsia="Calibri" w:cs="Arial"/>
          <w:szCs w:val="22"/>
          <w:lang w:eastAsia="en-US"/>
        </w:rPr>
        <w:t xml:space="preserve">Die </w:t>
      </w:r>
      <w:r w:rsidRPr="002B720B">
        <w:rPr>
          <w:rFonts w:eastAsia="Calibri" w:cs="Arial"/>
          <w:i/>
          <w:szCs w:val="22"/>
          <w:lang w:eastAsia="en-US"/>
        </w:rPr>
        <w:t>qualitative</w:t>
      </w:r>
      <w:r w:rsidR="003E4CDC">
        <w:rPr>
          <w:rFonts w:eastAsia="Calibri" w:cs="Arial"/>
          <w:szCs w:val="22"/>
          <w:lang w:eastAsia="en-US"/>
        </w:rPr>
        <w:t xml:space="preserve"> Erfassung und Auswertung von </w:t>
      </w:r>
      <w:r w:rsidR="003E4CDC" w:rsidRPr="003E4CDC">
        <w:rPr>
          <w:rFonts w:eastAsia="Calibri" w:cs="Arial"/>
          <w:i/>
          <w:szCs w:val="22"/>
          <w:lang w:eastAsia="en-US"/>
        </w:rPr>
        <w:t>good p</w:t>
      </w:r>
      <w:r w:rsidRPr="003E4CDC">
        <w:rPr>
          <w:rFonts w:eastAsia="Calibri" w:cs="Arial"/>
          <w:i/>
          <w:szCs w:val="22"/>
          <w:lang w:eastAsia="en-US"/>
        </w:rPr>
        <w:t>ractice</w:t>
      </w:r>
      <w:r w:rsidRPr="002B720B">
        <w:rPr>
          <w:rFonts w:eastAsia="Calibri" w:cs="Arial"/>
          <w:szCs w:val="22"/>
          <w:lang w:eastAsia="en-US"/>
        </w:rPr>
        <w:t>-Ansätzen und Erfahrungen bzgl. der Optimierung sozio-ökonomischer Effekte von RE/EE in Entwicklungs- und Schwe</w:t>
      </w:r>
      <w:r w:rsidRPr="002B720B">
        <w:rPr>
          <w:rFonts w:eastAsia="Calibri" w:cs="Arial"/>
          <w:szCs w:val="22"/>
          <w:lang w:eastAsia="en-US"/>
        </w:rPr>
        <w:t>l</w:t>
      </w:r>
      <w:r w:rsidRPr="002B720B">
        <w:rPr>
          <w:rFonts w:eastAsia="Calibri" w:cs="Arial"/>
          <w:szCs w:val="22"/>
          <w:lang w:eastAsia="en-US"/>
        </w:rPr>
        <w:t>lenländern wird im Rahmen des SE4JOBS-Projekts („Sustainable Energy for Jobs“) betri</w:t>
      </w:r>
      <w:r w:rsidRPr="002B720B">
        <w:rPr>
          <w:rFonts w:eastAsia="Calibri" w:cs="Arial"/>
          <w:szCs w:val="22"/>
          <w:lang w:eastAsia="en-US"/>
        </w:rPr>
        <w:t>e</w:t>
      </w:r>
      <w:r w:rsidRPr="002B720B">
        <w:rPr>
          <w:rFonts w:eastAsia="Calibri" w:cs="Arial"/>
          <w:szCs w:val="22"/>
          <w:lang w:eastAsia="en-US"/>
        </w:rPr>
        <w:t>ben, das RE-ACTIVATE 2014 in Zusammenarbeit mit 5 GIZ</w:t>
      </w:r>
      <w:r w:rsidR="00DE5DE1">
        <w:rPr>
          <w:rFonts w:eastAsia="Calibri" w:cs="Arial"/>
          <w:szCs w:val="22"/>
          <w:lang w:eastAsia="en-US"/>
        </w:rPr>
        <w:t>-</w:t>
      </w:r>
      <w:r w:rsidRPr="002B720B">
        <w:rPr>
          <w:rFonts w:eastAsia="Calibri" w:cs="Arial"/>
          <w:szCs w:val="22"/>
          <w:lang w:eastAsia="en-US"/>
        </w:rPr>
        <w:t>Sektorvorhaben und mit Unte</w:t>
      </w:r>
      <w:r w:rsidRPr="002B720B">
        <w:rPr>
          <w:rFonts w:eastAsia="Calibri" w:cs="Arial"/>
          <w:szCs w:val="22"/>
          <w:lang w:eastAsia="en-US"/>
        </w:rPr>
        <w:t>r</w:t>
      </w:r>
      <w:r w:rsidRPr="002B720B">
        <w:rPr>
          <w:rFonts w:eastAsia="Calibri" w:cs="Arial"/>
          <w:szCs w:val="22"/>
          <w:lang w:eastAsia="en-US"/>
        </w:rPr>
        <w:t xml:space="preserve">stützung </w:t>
      </w:r>
      <w:r>
        <w:rPr>
          <w:rFonts w:eastAsia="Calibri" w:cs="Arial"/>
          <w:szCs w:val="22"/>
          <w:lang w:eastAsia="en-US"/>
        </w:rPr>
        <w:t>externer Experten</w:t>
      </w:r>
      <w:r w:rsidRPr="002B720B">
        <w:rPr>
          <w:rFonts w:eastAsia="Calibri" w:cs="Arial"/>
          <w:szCs w:val="22"/>
          <w:lang w:eastAsia="en-US"/>
        </w:rPr>
        <w:t xml:space="preserve"> ins Leben gerufen hatte. Mit Hilfe von </w:t>
      </w:r>
      <w:r>
        <w:rPr>
          <w:rFonts w:eastAsia="Calibri" w:cs="Arial"/>
          <w:szCs w:val="22"/>
          <w:lang w:eastAsia="en-US"/>
        </w:rPr>
        <w:t>6</w:t>
      </w:r>
      <w:r w:rsidRPr="002B720B">
        <w:rPr>
          <w:rFonts w:eastAsia="Calibri" w:cs="Arial"/>
          <w:szCs w:val="22"/>
          <w:lang w:eastAsia="en-US"/>
        </w:rPr>
        <w:t xml:space="preserve"> </w:t>
      </w:r>
      <w:r w:rsidR="003E4CDC" w:rsidRPr="003E4CDC">
        <w:rPr>
          <w:rFonts w:eastAsia="Calibri" w:cs="Arial"/>
          <w:i/>
          <w:szCs w:val="22"/>
          <w:lang w:eastAsia="en-US"/>
        </w:rPr>
        <w:t>good practice</w:t>
      </w:r>
      <w:r w:rsidR="003E4CDC" w:rsidRPr="002B720B">
        <w:rPr>
          <w:rFonts w:eastAsia="Calibri" w:cs="Arial"/>
          <w:szCs w:val="22"/>
          <w:lang w:eastAsia="en-US"/>
        </w:rPr>
        <w:t xml:space="preserve"> </w:t>
      </w:r>
      <w:r w:rsidRPr="002B720B">
        <w:rPr>
          <w:rFonts w:eastAsia="Calibri" w:cs="Arial"/>
          <w:szCs w:val="22"/>
          <w:lang w:eastAsia="en-US"/>
        </w:rPr>
        <w:t>Referen</w:t>
      </w:r>
      <w:r w:rsidRPr="002B720B">
        <w:rPr>
          <w:rFonts w:eastAsia="Calibri" w:cs="Arial"/>
          <w:szCs w:val="22"/>
          <w:lang w:eastAsia="en-US"/>
        </w:rPr>
        <w:t>z</w:t>
      </w:r>
      <w:r w:rsidR="003E4CDC">
        <w:rPr>
          <w:rFonts w:eastAsia="Calibri" w:cs="Arial"/>
          <w:szCs w:val="22"/>
          <w:lang w:eastAsia="en-US"/>
        </w:rPr>
        <w:t>länder</w:t>
      </w:r>
      <w:r w:rsidR="00DE5DE1">
        <w:rPr>
          <w:rFonts w:eastAsia="Calibri" w:cs="Arial"/>
          <w:szCs w:val="22"/>
          <w:lang w:eastAsia="en-US"/>
        </w:rPr>
        <w:t>-</w:t>
      </w:r>
      <w:r w:rsidRPr="002B720B">
        <w:rPr>
          <w:rFonts w:eastAsia="Calibri" w:cs="Arial"/>
          <w:szCs w:val="22"/>
          <w:lang w:eastAsia="en-US"/>
        </w:rPr>
        <w:t>Studien werden sozio-ökonomisch besonders erfolgreiche RE/EE</w:t>
      </w:r>
      <w:r w:rsidR="00DE5DE1">
        <w:rPr>
          <w:rFonts w:eastAsia="Calibri" w:cs="Arial"/>
          <w:szCs w:val="22"/>
          <w:lang w:eastAsia="en-US"/>
        </w:rPr>
        <w:t>-</w:t>
      </w:r>
      <w:r w:rsidRPr="002B720B">
        <w:rPr>
          <w:rFonts w:eastAsia="Calibri" w:cs="Arial"/>
          <w:szCs w:val="22"/>
          <w:lang w:eastAsia="en-US"/>
        </w:rPr>
        <w:t>Ansätze in Latei</w:t>
      </w:r>
      <w:r w:rsidRPr="002B720B">
        <w:rPr>
          <w:rFonts w:eastAsia="Calibri" w:cs="Arial"/>
          <w:szCs w:val="22"/>
          <w:lang w:eastAsia="en-US"/>
        </w:rPr>
        <w:t>n</w:t>
      </w:r>
      <w:r w:rsidRPr="002B720B">
        <w:rPr>
          <w:rFonts w:eastAsia="Calibri" w:cs="Arial"/>
          <w:szCs w:val="22"/>
          <w:lang w:eastAsia="en-US"/>
        </w:rPr>
        <w:t>amerika, Asien und Afrika (inkl. MENA) erfasst und ausgewertet. Die Ergebnisse der</w:t>
      </w:r>
      <w:r w:rsidR="003E4CDC">
        <w:rPr>
          <w:rFonts w:eastAsia="Calibri" w:cs="Arial"/>
          <w:szCs w:val="22"/>
          <w:lang w:eastAsia="en-US"/>
        </w:rPr>
        <w:t xml:space="preserve"> Studien werden disaggregiert und </w:t>
      </w:r>
      <w:r w:rsidRPr="002B720B">
        <w:rPr>
          <w:rFonts w:eastAsia="Calibri" w:cs="Arial"/>
          <w:szCs w:val="22"/>
          <w:lang w:eastAsia="en-US"/>
        </w:rPr>
        <w:t>modularisiert und im Rahmen einer Toolbox einem breiteren Publ</w:t>
      </w:r>
      <w:r w:rsidRPr="002B720B">
        <w:rPr>
          <w:rFonts w:eastAsia="Calibri" w:cs="Arial"/>
          <w:szCs w:val="22"/>
          <w:lang w:eastAsia="en-US"/>
        </w:rPr>
        <w:t>i</w:t>
      </w:r>
      <w:r w:rsidRPr="002B720B">
        <w:rPr>
          <w:rFonts w:eastAsia="Calibri" w:cs="Arial"/>
          <w:szCs w:val="22"/>
          <w:lang w:eastAsia="en-US"/>
        </w:rPr>
        <w:t>kum und Anwenderkreis zur Verfügung gestellt. Die Inhal</w:t>
      </w:r>
      <w:r>
        <w:rPr>
          <w:rFonts w:eastAsia="Calibri" w:cs="Arial"/>
          <w:szCs w:val="22"/>
          <w:lang w:eastAsia="en-US"/>
        </w:rPr>
        <w:t xml:space="preserve">te der Toolbox </w:t>
      </w:r>
      <w:r w:rsidRPr="002B720B">
        <w:rPr>
          <w:rFonts w:eastAsia="Calibri" w:cs="Arial"/>
          <w:szCs w:val="22"/>
          <w:lang w:eastAsia="en-US"/>
        </w:rPr>
        <w:t>werden in Tra</w:t>
      </w:r>
      <w:r w:rsidRPr="002B720B">
        <w:rPr>
          <w:rFonts w:eastAsia="Calibri" w:cs="Arial"/>
          <w:szCs w:val="22"/>
          <w:lang w:eastAsia="en-US"/>
        </w:rPr>
        <w:t>i</w:t>
      </w:r>
      <w:r w:rsidRPr="002B720B">
        <w:rPr>
          <w:rFonts w:eastAsia="Calibri" w:cs="Arial"/>
          <w:szCs w:val="22"/>
          <w:lang w:eastAsia="en-US"/>
        </w:rPr>
        <w:t>ningsmodule überführt und für das Capacity Build</w:t>
      </w:r>
      <w:r>
        <w:rPr>
          <w:rFonts w:eastAsia="Calibri" w:cs="Arial"/>
          <w:szCs w:val="22"/>
          <w:lang w:eastAsia="en-US"/>
        </w:rPr>
        <w:t>in</w:t>
      </w:r>
      <w:r w:rsidRPr="002B720B">
        <w:rPr>
          <w:rFonts w:eastAsia="Calibri" w:cs="Arial"/>
          <w:szCs w:val="22"/>
          <w:lang w:eastAsia="en-US"/>
        </w:rPr>
        <w:t>g vor Ort eingesetzt. Alle Ergebnisse werden im Rahmen von Experten-Workshops für die Unterstützung der Stakeholderdialoge vor Ort eingesetzt. Feedback der Partner wird kontinuierlich aufgegriffen und für die Verbe</w:t>
      </w:r>
      <w:r w:rsidRPr="002B720B">
        <w:rPr>
          <w:rFonts w:eastAsia="Calibri" w:cs="Arial"/>
          <w:szCs w:val="22"/>
          <w:lang w:eastAsia="en-US"/>
        </w:rPr>
        <w:t>s</w:t>
      </w:r>
      <w:r w:rsidRPr="002B720B">
        <w:rPr>
          <w:rFonts w:eastAsia="Calibri" w:cs="Arial"/>
          <w:szCs w:val="22"/>
          <w:lang w:eastAsia="en-US"/>
        </w:rPr>
        <w:t xml:space="preserve">serung der Produkte </w:t>
      </w:r>
      <w:r>
        <w:rPr>
          <w:rFonts w:eastAsia="Calibri" w:cs="Arial"/>
          <w:szCs w:val="22"/>
          <w:lang w:eastAsia="en-US"/>
        </w:rPr>
        <w:t>ge</w:t>
      </w:r>
      <w:r w:rsidRPr="002B720B">
        <w:rPr>
          <w:rFonts w:eastAsia="Calibri" w:cs="Arial"/>
          <w:szCs w:val="22"/>
          <w:lang w:eastAsia="en-US"/>
        </w:rPr>
        <w:t>nutz</w:t>
      </w:r>
      <w:r>
        <w:rPr>
          <w:rFonts w:eastAsia="Calibri" w:cs="Arial"/>
          <w:szCs w:val="22"/>
          <w:lang w:eastAsia="en-US"/>
        </w:rPr>
        <w:t>t</w:t>
      </w:r>
      <w:r w:rsidRPr="002B720B">
        <w:rPr>
          <w:rFonts w:eastAsia="Calibri" w:cs="Arial"/>
          <w:szCs w:val="22"/>
          <w:lang w:eastAsia="en-US"/>
        </w:rPr>
        <w:t>.</w:t>
      </w:r>
    </w:p>
    <w:p w:rsidR="009C07B4" w:rsidRPr="002B720B" w:rsidRDefault="00D078A7" w:rsidP="009C07B4">
      <w:pPr>
        <w:spacing w:after="120"/>
        <w:jc w:val="both"/>
        <w:rPr>
          <w:rFonts w:eastAsia="Calibri" w:cs="Arial"/>
          <w:szCs w:val="22"/>
          <w:lang w:eastAsia="en-US"/>
        </w:rPr>
      </w:pPr>
      <w:r>
        <w:rPr>
          <w:rFonts w:eastAsia="Calibri" w:cs="Arial"/>
          <w:szCs w:val="22"/>
          <w:lang w:eastAsia="en-US"/>
        </w:rPr>
        <w:t>Im Berichtszeitraum wurden 2</w:t>
      </w:r>
      <w:r w:rsidR="003E4CDC">
        <w:rPr>
          <w:rFonts w:eastAsia="Calibri" w:cs="Arial"/>
          <w:szCs w:val="22"/>
          <w:lang w:eastAsia="en-US"/>
        </w:rPr>
        <w:t xml:space="preserve"> </w:t>
      </w:r>
      <w:r w:rsidR="00C93429" w:rsidRPr="002B720B">
        <w:rPr>
          <w:rFonts w:eastAsia="Calibri" w:cs="Arial"/>
          <w:szCs w:val="22"/>
          <w:lang w:eastAsia="en-US"/>
        </w:rPr>
        <w:t xml:space="preserve">Experten-Workshops durchgeführt: in Tunis (am 09.06.15) sowie in Beirut im </w:t>
      </w:r>
      <w:r w:rsidR="00E12360">
        <w:rPr>
          <w:rFonts w:eastAsia="Calibri" w:cs="Arial"/>
          <w:szCs w:val="22"/>
          <w:lang w:eastAsia="en-US"/>
        </w:rPr>
        <w:t>Rahmen des regionalen</w:t>
      </w:r>
      <w:r w:rsidR="00C93429" w:rsidRPr="002B720B">
        <w:rPr>
          <w:rFonts w:eastAsia="Calibri" w:cs="Arial"/>
          <w:szCs w:val="22"/>
          <w:lang w:eastAsia="en-US"/>
        </w:rPr>
        <w:t xml:space="preserve"> </w:t>
      </w:r>
      <w:r w:rsidR="00C93429" w:rsidRPr="00E12360">
        <w:rPr>
          <w:rFonts w:eastAsia="Calibri" w:cs="Arial"/>
          <w:i/>
          <w:szCs w:val="22"/>
          <w:lang w:eastAsia="en-US"/>
        </w:rPr>
        <w:t>Beirut Energy Forum</w:t>
      </w:r>
      <w:r w:rsidR="00C93429" w:rsidRPr="002B720B">
        <w:rPr>
          <w:rFonts w:eastAsia="Calibri" w:cs="Arial"/>
          <w:szCs w:val="22"/>
          <w:lang w:eastAsia="en-US"/>
        </w:rPr>
        <w:t xml:space="preserve"> (am 10.09.15). Außerdem fand am 26.10.15 der erste Trainingsworkshop in Kairo statt, der ein sehr positives Echo u</w:t>
      </w:r>
      <w:r w:rsidR="00C93429" w:rsidRPr="002B720B">
        <w:rPr>
          <w:rFonts w:eastAsia="Calibri" w:cs="Arial"/>
          <w:szCs w:val="22"/>
          <w:lang w:eastAsia="en-US"/>
        </w:rPr>
        <w:t>n</w:t>
      </w:r>
      <w:r w:rsidR="00C93429" w:rsidRPr="002B720B">
        <w:rPr>
          <w:rFonts w:eastAsia="Calibri" w:cs="Arial"/>
          <w:szCs w:val="22"/>
          <w:lang w:eastAsia="en-US"/>
        </w:rPr>
        <w:t>ter den Teilnehmern fand. Außerdem wurde</w:t>
      </w:r>
      <w:r w:rsidR="00C93429">
        <w:rPr>
          <w:rFonts w:eastAsia="Calibri" w:cs="Arial"/>
          <w:szCs w:val="22"/>
          <w:lang w:eastAsia="en-US"/>
        </w:rPr>
        <w:t>n</w:t>
      </w:r>
      <w:r w:rsidR="00C93429" w:rsidRPr="002B720B">
        <w:rPr>
          <w:rFonts w:eastAsia="Calibri" w:cs="Arial"/>
          <w:szCs w:val="22"/>
          <w:lang w:eastAsia="en-US"/>
        </w:rPr>
        <w:t xml:space="preserve"> die verschiedenen Produkte </w:t>
      </w:r>
      <w:r w:rsidR="00C93429">
        <w:rPr>
          <w:rFonts w:eastAsia="Calibri" w:cs="Arial"/>
          <w:szCs w:val="22"/>
          <w:lang w:eastAsia="en-US"/>
        </w:rPr>
        <w:t>während</w:t>
      </w:r>
      <w:r w:rsidR="00C93429" w:rsidRPr="002B720B">
        <w:rPr>
          <w:rFonts w:eastAsia="Calibri" w:cs="Arial"/>
          <w:szCs w:val="22"/>
          <w:lang w:eastAsia="en-US"/>
        </w:rPr>
        <w:t xml:space="preserve"> mehrerer Inhouse-Workshops </w:t>
      </w:r>
      <w:r w:rsidR="00C93429">
        <w:rPr>
          <w:rFonts w:eastAsia="Calibri" w:cs="Arial"/>
          <w:szCs w:val="22"/>
          <w:lang w:eastAsia="en-US"/>
        </w:rPr>
        <w:t xml:space="preserve">und </w:t>
      </w:r>
      <w:r w:rsidR="00C93429" w:rsidRPr="002B720B">
        <w:rPr>
          <w:rFonts w:eastAsia="Calibri" w:cs="Arial"/>
          <w:szCs w:val="22"/>
          <w:lang w:eastAsia="en-US"/>
        </w:rPr>
        <w:t>Webinar</w:t>
      </w:r>
      <w:r w:rsidR="00C93429">
        <w:rPr>
          <w:rFonts w:eastAsia="Calibri" w:cs="Arial"/>
          <w:szCs w:val="22"/>
          <w:lang w:eastAsia="en-US"/>
        </w:rPr>
        <w:t>e</w:t>
      </w:r>
      <w:r w:rsidR="00C93429" w:rsidRPr="002B720B">
        <w:rPr>
          <w:rFonts w:eastAsia="Calibri" w:cs="Arial"/>
          <w:szCs w:val="22"/>
          <w:lang w:eastAsia="en-US"/>
        </w:rPr>
        <w:t xml:space="preserve"> mit betroffenen bzw. interessierten GIZ- und EZ-Vorhaben diskutiert. </w:t>
      </w:r>
      <w:r w:rsidR="00C93429">
        <w:rPr>
          <w:rFonts w:eastAsia="Calibri" w:cs="Arial"/>
          <w:szCs w:val="22"/>
          <w:lang w:eastAsia="en-US"/>
        </w:rPr>
        <w:t>Zu</w:t>
      </w:r>
      <w:r w:rsidR="00C93429" w:rsidRPr="002B720B">
        <w:rPr>
          <w:rFonts w:eastAsia="Calibri" w:cs="Arial"/>
          <w:szCs w:val="22"/>
          <w:lang w:eastAsia="en-US"/>
        </w:rPr>
        <w:t xml:space="preserve">dem wurden die Ergebnisse im Rahmen des </w:t>
      </w:r>
      <w:r w:rsidR="00C93429" w:rsidRPr="00E12360">
        <w:rPr>
          <w:rFonts w:eastAsia="Calibri" w:cs="Arial"/>
          <w:i/>
          <w:szCs w:val="22"/>
          <w:lang w:eastAsia="en-US"/>
        </w:rPr>
        <w:t>World Future Energy Summits</w:t>
      </w:r>
      <w:r w:rsidR="00C93429" w:rsidRPr="002B720B">
        <w:rPr>
          <w:rFonts w:eastAsia="Calibri" w:cs="Arial"/>
          <w:szCs w:val="22"/>
          <w:lang w:eastAsia="en-US"/>
        </w:rPr>
        <w:t xml:space="preserve"> in Abu Dhabi 2015 und 2016 in Zusammenarbeit mit IRENA und RCREEE einem internationalen </w:t>
      </w:r>
      <w:r w:rsidR="00C93429">
        <w:rPr>
          <w:rFonts w:eastAsia="Calibri" w:cs="Arial"/>
          <w:szCs w:val="22"/>
          <w:lang w:eastAsia="en-US"/>
        </w:rPr>
        <w:t>Fachp</w:t>
      </w:r>
      <w:r w:rsidR="00C93429" w:rsidRPr="002B720B">
        <w:rPr>
          <w:rFonts w:eastAsia="Calibri" w:cs="Arial"/>
          <w:szCs w:val="22"/>
          <w:lang w:eastAsia="en-US"/>
        </w:rPr>
        <w:t>ublikum vorgestellt (s. Indikator 4).</w:t>
      </w:r>
    </w:p>
    <w:p w:rsidR="009C07B4" w:rsidRPr="00DD3EE4" w:rsidRDefault="00C93429" w:rsidP="009C07B4">
      <w:pPr>
        <w:spacing w:after="120"/>
        <w:jc w:val="both"/>
        <w:rPr>
          <w:rFonts w:eastAsia="Cambria" w:cs="Arial"/>
          <w:bCs/>
          <w:sz w:val="24"/>
          <w:lang w:eastAsia="fr-FR"/>
        </w:rPr>
      </w:pPr>
      <w:r w:rsidRPr="002B720B">
        <w:rPr>
          <w:rFonts w:eastAsia="Calibri" w:cs="Arial"/>
          <w:szCs w:val="22"/>
          <w:lang w:eastAsia="en-US"/>
        </w:rPr>
        <w:t xml:space="preserve">Alle sechs Studien liegen </w:t>
      </w:r>
      <w:r>
        <w:rPr>
          <w:rFonts w:eastAsia="Calibri" w:cs="Arial"/>
          <w:szCs w:val="22"/>
          <w:lang w:eastAsia="en-US"/>
        </w:rPr>
        <w:t>vor und sind online verfügbar</w:t>
      </w:r>
      <w:r w:rsidRPr="002B720B">
        <w:rPr>
          <w:rFonts w:eastAsia="Calibri" w:cs="Arial"/>
          <w:szCs w:val="22"/>
          <w:lang w:eastAsia="en-US"/>
        </w:rPr>
        <w:t>. Der Prototyp der Toolbox wird akt</w:t>
      </w:r>
      <w:r w:rsidRPr="002B720B">
        <w:rPr>
          <w:rFonts w:eastAsia="Calibri" w:cs="Arial"/>
          <w:szCs w:val="22"/>
          <w:lang w:eastAsia="en-US"/>
        </w:rPr>
        <w:t>u</w:t>
      </w:r>
      <w:r w:rsidRPr="002B720B">
        <w:rPr>
          <w:rFonts w:eastAsia="Calibri" w:cs="Arial"/>
          <w:szCs w:val="22"/>
          <w:lang w:eastAsia="en-US"/>
        </w:rPr>
        <w:t xml:space="preserve">ell finalisiert und zunächst auf der internen Energypediaseite einem ausgewählten Partner- und Kollegenkreis zugänglich gemacht. Die Endversion wird im 4.Quartal freigeschaltet und </w:t>
      </w:r>
      <w:r w:rsidR="00B87E49">
        <w:rPr>
          <w:rFonts w:eastAsia="Calibri" w:cs="Arial"/>
          <w:szCs w:val="22"/>
          <w:lang w:eastAsia="en-US"/>
        </w:rPr>
        <w:t xml:space="preserve">soll nach Möglichkeit </w:t>
      </w:r>
      <w:r w:rsidRPr="002B720B">
        <w:rPr>
          <w:rFonts w:eastAsia="Calibri" w:cs="Arial"/>
          <w:szCs w:val="22"/>
          <w:lang w:eastAsia="en-US"/>
        </w:rPr>
        <w:t xml:space="preserve">im Rahmen der </w:t>
      </w:r>
      <w:r w:rsidR="00B93E7C">
        <w:rPr>
          <w:rFonts w:eastAsia="Calibri" w:cs="Arial"/>
          <w:szCs w:val="22"/>
          <w:lang w:eastAsia="en-US"/>
        </w:rPr>
        <w:t>COP22</w:t>
      </w:r>
      <w:r w:rsidRPr="002B720B">
        <w:rPr>
          <w:rFonts w:eastAsia="Calibri" w:cs="Arial"/>
          <w:szCs w:val="22"/>
          <w:lang w:eastAsia="en-US"/>
        </w:rPr>
        <w:t xml:space="preserve"> einer internationalen Öffentlichkeit vorgestellt</w:t>
      </w:r>
      <w:r w:rsidR="00B87E49">
        <w:rPr>
          <w:rFonts w:eastAsia="Calibri" w:cs="Arial"/>
          <w:szCs w:val="22"/>
          <w:lang w:eastAsia="en-US"/>
        </w:rPr>
        <w:t xml:space="preserve"> werden</w:t>
      </w:r>
      <w:r w:rsidRPr="002B720B">
        <w:rPr>
          <w:rFonts w:eastAsia="Calibri" w:cs="Arial"/>
          <w:szCs w:val="22"/>
          <w:lang w:eastAsia="en-US"/>
        </w:rPr>
        <w:t>. Ein 2-tägiges Trainingsprogramm liegt bereits vor, weitere Module werden derzeit entwickelt. Mehrere Anbieter internationaler RE/EE</w:t>
      </w:r>
      <w:r w:rsidR="00D078A7">
        <w:rPr>
          <w:rFonts w:eastAsia="Calibri" w:cs="Arial"/>
          <w:szCs w:val="22"/>
          <w:lang w:eastAsia="en-US"/>
        </w:rPr>
        <w:t>-</w:t>
      </w:r>
      <w:r w:rsidRPr="002B720B">
        <w:rPr>
          <w:rFonts w:eastAsia="Calibri" w:cs="Arial"/>
          <w:szCs w:val="22"/>
          <w:lang w:eastAsia="en-US"/>
        </w:rPr>
        <w:t>Fortbildungsprogramme (wie zum Be</w:t>
      </w:r>
      <w:r w:rsidRPr="002B720B">
        <w:rPr>
          <w:rFonts w:eastAsia="Calibri" w:cs="Arial"/>
          <w:szCs w:val="22"/>
          <w:lang w:eastAsia="en-US"/>
        </w:rPr>
        <w:t>i</w:t>
      </w:r>
      <w:r w:rsidRPr="002B720B">
        <w:rPr>
          <w:rFonts w:eastAsia="Calibri" w:cs="Arial"/>
          <w:szCs w:val="22"/>
          <w:lang w:eastAsia="en-US"/>
        </w:rPr>
        <w:t xml:space="preserve">spiel die Pan-Afrikanische Union) haben bereits angefragt, die Inhalte und Module von SE4JOBS nutzen zu können. </w:t>
      </w:r>
    </w:p>
    <w:p w:rsidR="009C07B4" w:rsidRPr="00DD3EE4" w:rsidRDefault="00C93429" w:rsidP="00B87E49">
      <w:pPr>
        <w:spacing w:after="120"/>
        <w:jc w:val="both"/>
        <w:rPr>
          <w:rFonts w:eastAsia="Calibri" w:cs="Arial"/>
          <w:szCs w:val="22"/>
          <w:lang w:eastAsia="en-US"/>
        </w:rPr>
      </w:pPr>
      <w:r w:rsidRPr="00B87E49">
        <w:rPr>
          <w:rFonts w:eastAsia="Calibri" w:cs="Arial"/>
          <w:szCs w:val="22"/>
          <w:lang w:eastAsia="en-US"/>
        </w:rPr>
        <w:t xml:space="preserve">Die </w:t>
      </w:r>
      <w:r w:rsidRPr="00B87E49">
        <w:rPr>
          <w:rFonts w:eastAsia="Calibri" w:cs="Arial"/>
          <w:i/>
          <w:szCs w:val="22"/>
          <w:lang w:eastAsia="en-US"/>
        </w:rPr>
        <w:t>quantitative</w:t>
      </w:r>
      <w:r w:rsidRPr="00B87E49">
        <w:rPr>
          <w:rFonts w:eastAsia="Calibri" w:cs="Arial"/>
          <w:szCs w:val="22"/>
          <w:lang w:eastAsia="en-US"/>
        </w:rPr>
        <w:t xml:space="preserve"> Erfassung und Auswertung aktueller oder potentieller sozio-ökonomischer Wirkungen von RE/EE wird im Rahmen „tiefer“ </w:t>
      </w:r>
      <w:r w:rsidRPr="00DD3EE4">
        <w:rPr>
          <w:rFonts w:eastAsia="Calibri" w:cs="Arial"/>
          <w:szCs w:val="22"/>
          <w:lang w:eastAsia="en-US"/>
        </w:rPr>
        <w:t>Beschäftigungsstudien für einzelne MENA</w:t>
      </w:r>
      <w:r w:rsidR="00D078A7">
        <w:rPr>
          <w:rFonts w:eastAsia="Calibri" w:cs="Arial"/>
          <w:szCs w:val="22"/>
          <w:lang w:eastAsia="en-US"/>
        </w:rPr>
        <w:t>-</w:t>
      </w:r>
      <w:r w:rsidRPr="00DD3EE4">
        <w:rPr>
          <w:rFonts w:eastAsia="Calibri" w:cs="Arial"/>
          <w:szCs w:val="22"/>
          <w:lang w:eastAsia="en-US"/>
        </w:rPr>
        <w:t xml:space="preserve"> Länder durchgeführt, in denen auch der meist vernachlässigte, beschäftigungsintensive Dienstleistungssektor berücksichtigt wird. Die erste Länderstudie befasst sich mit Tunesien und liegt aktuell als Entwurf vor. </w:t>
      </w:r>
      <w:r w:rsidR="00B87E49" w:rsidRPr="00DD3EE4">
        <w:rPr>
          <w:rFonts w:eastAsia="Calibri" w:cs="Arial"/>
          <w:szCs w:val="22"/>
          <w:lang w:eastAsia="en-US"/>
        </w:rPr>
        <w:t>So wurden zwischen 2010 und 2015 v.a. durch die Förde</w:t>
      </w:r>
      <w:r w:rsidR="00B87E49" w:rsidRPr="00DD3EE4">
        <w:rPr>
          <w:rFonts w:eastAsia="Calibri" w:cs="Arial"/>
          <w:szCs w:val="22"/>
          <w:lang w:eastAsia="en-US"/>
        </w:rPr>
        <w:t>r</w:t>
      </w:r>
      <w:r w:rsidR="00B87E49" w:rsidRPr="00DD3EE4">
        <w:rPr>
          <w:rFonts w:eastAsia="Calibri" w:cs="Arial"/>
          <w:szCs w:val="22"/>
          <w:lang w:eastAsia="en-US"/>
        </w:rPr>
        <w:t>programme für kleine Solaranlagen in Tunesien mehr als 550 direkte, dauerhafte Arbeit</w:t>
      </w:r>
      <w:r w:rsidR="00B87E49" w:rsidRPr="00DD3EE4">
        <w:rPr>
          <w:rFonts w:eastAsia="Calibri" w:cs="Arial"/>
          <w:szCs w:val="22"/>
          <w:lang w:eastAsia="en-US"/>
        </w:rPr>
        <w:t>s</w:t>
      </w:r>
      <w:r w:rsidR="00B87E49" w:rsidRPr="00DD3EE4">
        <w:rPr>
          <w:rFonts w:eastAsia="Calibri" w:cs="Arial"/>
          <w:szCs w:val="22"/>
          <w:lang w:eastAsia="en-US"/>
        </w:rPr>
        <w:t>plätze durch PV-Installationen und mehr als 1</w:t>
      </w:r>
      <w:r w:rsidR="00D078A7">
        <w:rPr>
          <w:rFonts w:eastAsia="Calibri" w:cs="Arial"/>
          <w:szCs w:val="22"/>
          <w:lang w:eastAsia="en-US"/>
        </w:rPr>
        <w:t>.</w:t>
      </w:r>
      <w:r w:rsidR="00B87E49" w:rsidRPr="00DD3EE4">
        <w:rPr>
          <w:rFonts w:eastAsia="Calibri" w:cs="Arial"/>
          <w:szCs w:val="22"/>
          <w:lang w:eastAsia="en-US"/>
        </w:rPr>
        <w:t>500 durch Solarthermie geschaffen. (Installie</w:t>
      </w:r>
      <w:r w:rsidR="00B87E49" w:rsidRPr="00DD3EE4">
        <w:rPr>
          <w:rFonts w:eastAsia="Calibri" w:cs="Arial"/>
          <w:szCs w:val="22"/>
          <w:lang w:eastAsia="en-US"/>
        </w:rPr>
        <w:t>r</w:t>
      </w:r>
      <w:r w:rsidR="00B87E49" w:rsidRPr="00DD3EE4">
        <w:rPr>
          <w:rFonts w:eastAsia="Calibri" w:cs="Arial"/>
          <w:szCs w:val="22"/>
          <w:lang w:eastAsia="en-US"/>
        </w:rPr>
        <w:t xml:space="preserve">te Kapazitäten 2010-2015: 25 mWp PV durch 120 Millionen </w:t>
      </w:r>
      <w:r w:rsidR="00AB4B00">
        <w:rPr>
          <w:rFonts w:eastAsia="Calibri" w:cs="Arial"/>
          <w:szCs w:val="22"/>
          <w:lang w:eastAsia="en-US"/>
        </w:rPr>
        <w:t>Tunesische Dinar (TND)</w:t>
      </w:r>
      <w:r w:rsidR="00B87E49" w:rsidRPr="00DD3EE4">
        <w:rPr>
          <w:rFonts w:eastAsia="Calibri" w:cs="Arial"/>
          <w:szCs w:val="22"/>
          <w:lang w:eastAsia="en-US"/>
        </w:rPr>
        <w:t xml:space="preserve"> Umsatz und 424 000 m² durch 243 Millionen </w:t>
      </w:r>
      <w:r w:rsidR="00AB4B00">
        <w:rPr>
          <w:rFonts w:eastAsia="Calibri" w:cs="Arial"/>
          <w:szCs w:val="22"/>
          <w:lang w:eastAsia="en-US"/>
        </w:rPr>
        <w:t>TND</w:t>
      </w:r>
      <w:r w:rsidR="00AB4B00" w:rsidRPr="00DD3EE4">
        <w:rPr>
          <w:rFonts w:eastAsia="Calibri" w:cs="Arial"/>
          <w:szCs w:val="22"/>
          <w:lang w:eastAsia="en-US"/>
        </w:rPr>
        <w:t xml:space="preserve"> </w:t>
      </w:r>
      <w:r w:rsidR="00B87E49" w:rsidRPr="00DD3EE4">
        <w:rPr>
          <w:rFonts w:eastAsia="Calibri" w:cs="Arial"/>
          <w:szCs w:val="22"/>
          <w:lang w:eastAsia="en-US"/>
        </w:rPr>
        <w:t xml:space="preserve">Umsatz). Durch alle im INDC </w:t>
      </w:r>
      <w:r w:rsidR="006129A7" w:rsidRPr="00DD3EE4">
        <w:rPr>
          <w:rFonts w:eastAsia="Calibri" w:cs="Arial"/>
          <w:szCs w:val="22"/>
          <w:lang w:eastAsia="en-US"/>
        </w:rPr>
        <w:t>genannten</w:t>
      </w:r>
      <w:r w:rsidR="00B87E49" w:rsidRPr="00DD3EE4">
        <w:rPr>
          <w:rFonts w:eastAsia="Calibri" w:cs="Arial"/>
          <w:szCs w:val="22"/>
          <w:lang w:eastAsia="en-US"/>
        </w:rPr>
        <w:t xml:space="preserve"> ER/</w:t>
      </w:r>
      <w:r w:rsidR="00E12360">
        <w:rPr>
          <w:rFonts w:eastAsia="Calibri" w:cs="Arial"/>
          <w:szCs w:val="22"/>
          <w:lang w:eastAsia="en-US"/>
        </w:rPr>
        <w:t>EE-Maßnahmen würden bis 2030 25.</w:t>
      </w:r>
      <w:r w:rsidR="00B87E49" w:rsidRPr="00DD3EE4">
        <w:rPr>
          <w:rFonts w:eastAsia="Calibri" w:cs="Arial"/>
          <w:szCs w:val="22"/>
          <w:lang w:eastAsia="en-US"/>
        </w:rPr>
        <w:t xml:space="preserve">000 Arbeitsplätze entstehen. </w:t>
      </w:r>
      <w:r w:rsidRPr="00DD3EE4">
        <w:rPr>
          <w:rFonts w:eastAsia="Calibri" w:cs="Arial"/>
          <w:szCs w:val="22"/>
          <w:lang w:eastAsia="en-US"/>
        </w:rPr>
        <w:t>Wesentliche Ergebnisse wu</w:t>
      </w:r>
      <w:r w:rsidRPr="00DD3EE4">
        <w:rPr>
          <w:rFonts w:eastAsia="Calibri" w:cs="Arial"/>
          <w:szCs w:val="22"/>
          <w:lang w:eastAsia="en-US"/>
        </w:rPr>
        <w:t>r</w:t>
      </w:r>
      <w:r w:rsidRPr="00DD3EE4">
        <w:rPr>
          <w:rFonts w:eastAsia="Calibri" w:cs="Arial"/>
          <w:szCs w:val="22"/>
          <w:lang w:eastAsia="en-US"/>
        </w:rPr>
        <w:t>den bereits im Rahmen des Arabischen Forum für Erneuerbare Energien und Energieeffiz</w:t>
      </w:r>
      <w:r w:rsidRPr="00DD3EE4">
        <w:rPr>
          <w:rFonts w:eastAsia="Calibri" w:cs="Arial"/>
          <w:szCs w:val="22"/>
          <w:lang w:eastAsia="en-US"/>
        </w:rPr>
        <w:t>i</w:t>
      </w:r>
      <w:r w:rsidRPr="00DD3EE4">
        <w:rPr>
          <w:rFonts w:eastAsia="Calibri" w:cs="Arial"/>
          <w:szCs w:val="22"/>
          <w:lang w:eastAsia="en-US"/>
        </w:rPr>
        <w:t xml:space="preserve">enz (ARFREEE) der Arabischen Liga am 31.05.16 in Kairo vorgestellt und sind zudem in die neue Ausgabe des </w:t>
      </w:r>
      <w:r w:rsidRPr="00051A30">
        <w:rPr>
          <w:rFonts w:eastAsia="Calibri" w:cs="Arial"/>
          <w:i/>
          <w:szCs w:val="22"/>
          <w:lang w:eastAsia="en-US"/>
        </w:rPr>
        <w:t>Arab Future Energy Index</w:t>
      </w:r>
      <w:r w:rsidRPr="00DD3EE4">
        <w:rPr>
          <w:rFonts w:eastAsia="Calibri" w:cs="Arial"/>
          <w:szCs w:val="22"/>
          <w:lang w:eastAsia="en-US"/>
        </w:rPr>
        <w:t xml:space="preserve"> (AFEX) eingeflossen. Der AFEX ist ein alle 2 Jahre aktualisiertes Rating von RCREEE für die Länder der MENA Region. Die nächsten ti</w:t>
      </w:r>
      <w:r w:rsidRPr="00DD3EE4">
        <w:rPr>
          <w:rFonts w:eastAsia="Calibri" w:cs="Arial"/>
          <w:szCs w:val="22"/>
          <w:lang w:eastAsia="en-US"/>
        </w:rPr>
        <w:t>e</w:t>
      </w:r>
      <w:r w:rsidRPr="00DD3EE4">
        <w:rPr>
          <w:rFonts w:eastAsia="Calibri" w:cs="Arial"/>
          <w:szCs w:val="22"/>
          <w:lang w:eastAsia="en-US"/>
        </w:rPr>
        <w:t>fen Länderstudien werden in der 2.</w:t>
      </w:r>
      <w:r w:rsidR="00AB4B00">
        <w:rPr>
          <w:rFonts w:eastAsia="Calibri" w:cs="Arial"/>
          <w:szCs w:val="22"/>
          <w:lang w:eastAsia="en-US"/>
        </w:rPr>
        <w:t xml:space="preserve"> </w:t>
      </w:r>
      <w:r w:rsidRPr="00DD3EE4">
        <w:rPr>
          <w:rFonts w:eastAsia="Calibri" w:cs="Arial"/>
          <w:szCs w:val="22"/>
          <w:lang w:eastAsia="en-US"/>
        </w:rPr>
        <w:t>Jahreshälfte 2016 für Ägypten durchgeführt werden s</w:t>
      </w:r>
      <w:r w:rsidRPr="00DD3EE4">
        <w:rPr>
          <w:rFonts w:eastAsia="Calibri" w:cs="Arial"/>
          <w:szCs w:val="22"/>
          <w:lang w:eastAsia="en-US"/>
        </w:rPr>
        <w:t>o</w:t>
      </w:r>
      <w:r w:rsidRPr="00DD3EE4">
        <w:rPr>
          <w:rFonts w:eastAsia="Calibri" w:cs="Arial"/>
          <w:szCs w:val="22"/>
          <w:lang w:eastAsia="en-US"/>
        </w:rPr>
        <w:t>wie in der 1.</w:t>
      </w:r>
      <w:r w:rsidR="00AB4B00">
        <w:rPr>
          <w:rFonts w:eastAsia="Calibri" w:cs="Arial"/>
          <w:szCs w:val="22"/>
          <w:lang w:eastAsia="en-US"/>
        </w:rPr>
        <w:t xml:space="preserve"> </w:t>
      </w:r>
      <w:r w:rsidRPr="00DD3EE4">
        <w:rPr>
          <w:rFonts w:eastAsia="Calibri" w:cs="Arial"/>
          <w:szCs w:val="22"/>
          <w:lang w:eastAsia="en-US"/>
        </w:rPr>
        <w:t>Jahreshälfte 2017 für Marokko. Die den Studien zugrunde liegenden Methoden werden mit Hilfe von Trainings für die zuständigen staatlichen Stellen verfügbar und länge</w:t>
      </w:r>
      <w:r w:rsidRPr="00DD3EE4">
        <w:rPr>
          <w:rFonts w:eastAsia="Calibri" w:cs="Arial"/>
          <w:szCs w:val="22"/>
          <w:lang w:eastAsia="en-US"/>
        </w:rPr>
        <w:t>r</w:t>
      </w:r>
      <w:r w:rsidRPr="00DD3EE4">
        <w:rPr>
          <w:rFonts w:eastAsia="Calibri" w:cs="Arial"/>
          <w:szCs w:val="22"/>
          <w:lang w:eastAsia="en-US"/>
        </w:rPr>
        <w:t>fristig nutzbar gemacht.</w:t>
      </w:r>
    </w:p>
    <w:p w:rsidR="009C07B4" w:rsidRDefault="00C93429" w:rsidP="004F406F">
      <w:pPr>
        <w:spacing w:after="120"/>
        <w:jc w:val="both"/>
        <w:rPr>
          <w:rFonts w:eastAsia="Calibri" w:cs="Arial"/>
          <w:szCs w:val="22"/>
          <w:lang w:eastAsia="en-US"/>
        </w:rPr>
      </w:pPr>
      <w:r w:rsidRPr="00DD3EE4">
        <w:rPr>
          <w:rFonts w:eastAsia="Calibri" w:cs="Arial"/>
          <w:szCs w:val="22"/>
          <w:lang w:eastAsia="en-US"/>
        </w:rPr>
        <w:t>Da es schwierig ist, im Rahmen von Länderstudien konkrete Beschäftigungseffekte und Qu</w:t>
      </w:r>
      <w:r w:rsidRPr="00DD3EE4">
        <w:rPr>
          <w:rFonts w:eastAsia="Calibri" w:cs="Arial"/>
          <w:szCs w:val="22"/>
          <w:lang w:eastAsia="en-US"/>
        </w:rPr>
        <w:t>a</w:t>
      </w:r>
      <w:r w:rsidRPr="00DD3EE4">
        <w:rPr>
          <w:rFonts w:eastAsia="Calibri" w:cs="Arial"/>
          <w:szCs w:val="22"/>
          <w:lang w:eastAsia="en-US"/>
        </w:rPr>
        <w:t>lifizierungsbedarfe für einzelne Sektoren oder Subsektoren zu berechnen</w:t>
      </w:r>
      <w:r>
        <w:rPr>
          <w:rFonts w:eastAsia="Calibri" w:cs="Arial"/>
          <w:szCs w:val="22"/>
          <w:lang w:eastAsia="en-US"/>
        </w:rPr>
        <w:t xml:space="preserve"> (bzw. konkrete U</w:t>
      </w:r>
      <w:r>
        <w:rPr>
          <w:rFonts w:eastAsia="Calibri" w:cs="Arial"/>
          <w:szCs w:val="22"/>
          <w:lang w:eastAsia="en-US"/>
        </w:rPr>
        <w:t>n</w:t>
      </w:r>
      <w:r>
        <w:rPr>
          <w:rFonts w:eastAsia="Calibri" w:cs="Arial"/>
          <w:szCs w:val="22"/>
          <w:lang w:eastAsia="en-US"/>
        </w:rPr>
        <w:t>terstützungs- und Rollout-Maßnahmen zu entwickeln)</w:t>
      </w:r>
      <w:r w:rsidRPr="002B720B">
        <w:rPr>
          <w:rFonts w:eastAsia="Calibri" w:cs="Arial"/>
          <w:szCs w:val="22"/>
          <w:lang w:eastAsia="en-US"/>
        </w:rPr>
        <w:t>, realisiert das Vorhaben Bestandsau</w:t>
      </w:r>
      <w:r w:rsidRPr="002B720B">
        <w:rPr>
          <w:rFonts w:eastAsia="Calibri" w:cs="Arial"/>
          <w:szCs w:val="22"/>
          <w:lang w:eastAsia="en-US"/>
        </w:rPr>
        <w:t>f</w:t>
      </w:r>
      <w:r w:rsidRPr="002B720B">
        <w:rPr>
          <w:rFonts w:eastAsia="Calibri" w:cs="Arial"/>
          <w:szCs w:val="22"/>
          <w:lang w:eastAsia="en-US"/>
        </w:rPr>
        <w:t>nahmen und Potentialanalysen für beschäftigungspolitisch interessante Markt- und Techn</w:t>
      </w:r>
      <w:r w:rsidRPr="002B720B">
        <w:rPr>
          <w:rFonts w:eastAsia="Calibri" w:cs="Arial"/>
          <w:szCs w:val="22"/>
          <w:lang w:eastAsia="en-US"/>
        </w:rPr>
        <w:t>o</w:t>
      </w:r>
      <w:r w:rsidRPr="002B720B">
        <w:rPr>
          <w:rFonts w:eastAsia="Calibri" w:cs="Arial"/>
          <w:szCs w:val="22"/>
          <w:lang w:eastAsia="en-US"/>
        </w:rPr>
        <w:t xml:space="preserve">logiesegmente. Diese beziehen sich bislang auf Wertschöpfungseffekte und </w:t>
      </w:r>
      <w:r w:rsidR="00BA3026">
        <w:rPr>
          <w:rFonts w:eastAsia="Calibri" w:cs="Arial"/>
          <w:szCs w:val="22"/>
          <w:lang w:eastAsia="en-US"/>
        </w:rPr>
        <w:t>-</w:t>
      </w:r>
      <w:r w:rsidRPr="002B720B">
        <w:rPr>
          <w:rFonts w:eastAsia="Calibri" w:cs="Arial"/>
          <w:szCs w:val="22"/>
          <w:lang w:eastAsia="en-US"/>
        </w:rPr>
        <w:t>potentiale durch RE/EE im marokkanischen Bausektor (</w:t>
      </w:r>
      <w:r>
        <w:rPr>
          <w:rFonts w:eastAsia="Calibri" w:cs="Arial"/>
          <w:szCs w:val="22"/>
          <w:lang w:eastAsia="en-US"/>
        </w:rPr>
        <w:t>in Zusammenarbeit</w:t>
      </w:r>
      <w:r w:rsidRPr="002B720B">
        <w:rPr>
          <w:rFonts w:eastAsia="Calibri" w:cs="Arial"/>
          <w:szCs w:val="22"/>
          <w:lang w:eastAsia="en-US"/>
        </w:rPr>
        <w:t xml:space="preserve"> </w:t>
      </w:r>
      <w:r w:rsidR="005B061D" w:rsidRPr="005B061D">
        <w:rPr>
          <w:rFonts w:eastAsia="Calibri" w:cs="Arial"/>
          <w:szCs w:val="22"/>
          <w:lang w:eastAsia="en-US"/>
        </w:rPr>
        <w:t xml:space="preserve">mit dem TZ-Vorhaben </w:t>
      </w:r>
      <w:r w:rsidR="00E12360">
        <w:rPr>
          <w:rFonts w:eastAsia="Calibri" w:cs="Arial"/>
          <w:szCs w:val="22"/>
          <w:lang w:eastAsia="en-US"/>
        </w:rPr>
        <w:t>„</w:t>
      </w:r>
      <w:r w:rsidR="005B061D" w:rsidRPr="005B061D">
        <w:rPr>
          <w:rFonts w:eastAsia="Calibri" w:cs="Arial"/>
          <w:szCs w:val="22"/>
          <w:lang w:eastAsia="en-US"/>
        </w:rPr>
        <w:t>B</w:t>
      </w:r>
      <w:r w:rsidR="005B061D" w:rsidRPr="005B061D">
        <w:rPr>
          <w:rFonts w:eastAsia="Calibri" w:cs="Arial"/>
          <w:szCs w:val="22"/>
          <w:lang w:eastAsia="en-US"/>
        </w:rPr>
        <w:t>e</w:t>
      </w:r>
      <w:r w:rsidR="005B061D" w:rsidRPr="005B061D">
        <w:rPr>
          <w:rFonts w:eastAsia="Calibri" w:cs="Arial"/>
          <w:szCs w:val="22"/>
          <w:lang w:eastAsia="en-US"/>
        </w:rPr>
        <w:t>schäftigungsförderung durch Energieeffizienz und Erneuerbare Energien in Moscheen</w:t>
      </w:r>
      <w:r w:rsidR="005B061D">
        <w:rPr>
          <w:rFonts w:eastAsia="Calibri" w:cs="Arial"/>
          <w:szCs w:val="22"/>
          <w:lang w:eastAsia="en-US"/>
        </w:rPr>
        <w:t>“</w:t>
      </w:r>
      <w:r w:rsidR="005B061D" w:rsidRPr="005B061D">
        <w:rPr>
          <w:rFonts w:eastAsia="Calibri" w:cs="Arial"/>
          <w:szCs w:val="22"/>
          <w:lang w:eastAsia="en-US"/>
        </w:rPr>
        <w:t xml:space="preserve"> (PN: </w:t>
      </w:r>
      <w:r w:rsidR="00BA3026">
        <w:rPr>
          <w:rFonts w:eastAsia="Calibri" w:cs="Arial"/>
          <w:szCs w:val="22"/>
          <w:lang w:eastAsia="en-US"/>
        </w:rPr>
        <w:t>20</w:t>
      </w:r>
      <w:r w:rsidR="005B061D" w:rsidRPr="005B061D">
        <w:rPr>
          <w:rFonts w:eastAsia="Calibri" w:cs="Arial"/>
          <w:szCs w:val="22"/>
          <w:lang w:eastAsia="en-US"/>
        </w:rPr>
        <w:t>14.4109.6)</w:t>
      </w:r>
      <w:r w:rsidR="00636520">
        <w:t>. Hier zeigte sich ein Beschäftigungspotential durch die neuen geltenden R</w:t>
      </w:r>
      <w:r w:rsidR="00636520">
        <w:t>e</w:t>
      </w:r>
      <w:r w:rsidR="00636520">
        <w:t xml:space="preserve">geln im </w:t>
      </w:r>
      <w:r w:rsidR="006129A7">
        <w:t>Bausektor</w:t>
      </w:r>
      <w:r w:rsidR="00636520">
        <w:t xml:space="preserve"> in Marokko, welche</w:t>
      </w:r>
      <w:r w:rsidR="00E12360">
        <w:t>s sich</w:t>
      </w:r>
      <w:r w:rsidR="00636520">
        <w:t xml:space="preserve"> durch gezielte Ausbildung </w:t>
      </w:r>
      <w:r w:rsidR="006129A7">
        <w:t>in</w:t>
      </w:r>
      <w:r w:rsidR="00636520">
        <w:t xml:space="preserve"> Bezug auf das R</w:t>
      </w:r>
      <w:r w:rsidR="00636520">
        <w:t>e</w:t>
      </w:r>
      <w:r w:rsidR="00636520">
        <w:t xml:space="preserve">gelwerk ausschöpfen lässt. </w:t>
      </w:r>
      <w:r w:rsidR="006129A7">
        <w:t xml:space="preserve">Untersucht wurde zudem </w:t>
      </w:r>
      <w:r w:rsidR="006129A7">
        <w:rPr>
          <w:rFonts w:eastAsia="Calibri" w:cs="Arial"/>
          <w:szCs w:val="22"/>
          <w:lang w:eastAsia="en-US"/>
        </w:rPr>
        <w:t>die</w:t>
      </w:r>
      <w:r w:rsidR="00E12360">
        <w:rPr>
          <w:rFonts w:eastAsia="Calibri" w:cs="Arial"/>
          <w:szCs w:val="22"/>
          <w:lang w:eastAsia="en-US"/>
        </w:rPr>
        <w:t xml:space="preserve"> marokkanische und tunesische</w:t>
      </w:r>
      <w:r w:rsidR="006129A7" w:rsidRPr="002B720B">
        <w:rPr>
          <w:rFonts w:eastAsia="Calibri" w:cs="Arial"/>
          <w:szCs w:val="22"/>
          <w:lang w:eastAsia="en-US"/>
        </w:rPr>
        <w:t xml:space="preserve"> Landwirtschaft und Nahrungsmittelverarbeitung (letztere in Kooperation mit </w:t>
      </w:r>
      <w:r w:rsidR="00E12360">
        <w:rPr>
          <w:rFonts w:eastAsia="Calibri" w:cs="Arial"/>
          <w:szCs w:val="22"/>
          <w:lang w:eastAsia="en-US"/>
        </w:rPr>
        <w:t>dem TZ-Vorhaben „</w:t>
      </w:r>
      <w:r w:rsidR="00E12360" w:rsidRPr="00E12360">
        <w:rPr>
          <w:rFonts w:eastAsia="Calibri" w:cs="Arial"/>
          <w:i/>
          <w:szCs w:val="22"/>
          <w:lang w:eastAsia="en-US"/>
        </w:rPr>
        <w:t>Développement du Marché solaire en Tunisie</w:t>
      </w:r>
      <w:r w:rsidR="00E12360">
        <w:rPr>
          <w:rFonts w:eastAsia="Calibri" w:cs="Arial"/>
          <w:szCs w:val="22"/>
          <w:lang w:eastAsia="en-US"/>
        </w:rPr>
        <w:t>“</w:t>
      </w:r>
      <w:r w:rsidR="00E12360">
        <w:rPr>
          <w:rFonts w:eastAsia="Calibri" w:cs="Arial"/>
          <w:szCs w:val="22"/>
          <w:lang w:eastAsia="en-US"/>
        </w:rPr>
        <w:t xml:space="preserve"> (</w:t>
      </w:r>
      <w:r w:rsidR="006129A7" w:rsidRPr="002B720B">
        <w:rPr>
          <w:rFonts w:eastAsia="Calibri" w:cs="Arial"/>
          <w:szCs w:val="22"/>
          <w:lang w:eastAsia="en-US"/>
        </w:rPr>
        <w:t>DMS</w:t>
      </w:r>
      <w:r w:rsidR="00E12360">
        <w:rPr>
          <w:rFonts w:eastAsia="Calibri" w:cs="Arial"/>
          <w:szCs w:val="22"/>
          <w:lang w:eastAsia="en-US"/>
        </w:rPr>
        <w:t>)</w:t>
      </w:r>
      <w:r w:rsidR="006129A7" w:rsidRPr="002B720B">
        <w:rPr>
          <w:rFonts w:eastAsia="Calibri" w:cs="Arial"/>
          <w:szCs w:val="22"/>
          <w:lang w:eastAsia="en-US"/>
        </w:rPr>
        <w:t>, ANME und APIA)</w:t>
      </w:r>
      <w:r w:rsidR="006129A7">
        <w:rPr>
          <w:rFonts w:eastAsia="Calibri" w:cs="Arial"/>
          <w:szCs w:val="22"/>
          <w:lang w:eastAsia="en-US"/>
        </w:rPr>
        <w:t xml:space="preserve">, wo die Beschäftigungspotentiale im Bereich Solarpumpen und EE in der Nahrungsmittelindustrie bestehen. </w:t>
      </w:r>
      <w:r w:rsidR="003C3010">
        <w:rPr>
          <w:rFonts w:eastAsia="Calibri" w:cs="Arial"/>
          <w:szCs w:val="22"/>
          <w:lang w:eastAsia="en-US"/>
        </w:rPr>
        <w:t>Auch hier reagiert das</w:t>
      </w:r>
      <w:r w:rsidR="00636520">
        <w:rPr>
          <w:rFonts w:eastAsia="Calibri" w:cs="Arial"/>
          <w:szCs w:val="22"/>
          <w:lang w:eastAsia="en-US"/>
        </w:rPr>
        <w:t xml:space="preserve"> Vorhaben mit entsprechenden Ausbildung</w:t>
      </w:r>
      <w:r w:rsidR="00636520">
        <w:rPr>
          <w:rFonts w:eastAsia="Calibri" w:cs="Arial"/>
          <w:szCs w:val="22"/>
          <w:lang w:eastAsia="en-US"/>
        </w:rPr>
        <w:t>s</w:t>
      </w:r>
      <w:r w:rsidR="00636520">
        <w:rPr>
          <w:rFonts w:eastAsia="Calibri" w:cs="Arial"/>
          <w:szCs w:val="22"/>
          <w:lang w:eastAsia="en-US"/>
        </w:rPr>
        <w:t xml:space="preserve">programmen </w:t>
      </w:r>
      <w:r w:rsidR="003C3010">
        <w:rPr>
          <w:rFonts w:eastAsia="Calibri" w:cs="Arial"/>
          <w:szCs w:val="22"/>
          <w:lang w:eastAsia="en-US"/>
        </w:rPr>
        <w:t xml:space="preserve">für Bauern und Installateure und einzelnen Pilotanlagen im Rahmen von </w:t>
      </w:r>
      <w:r w:rsidR="006129A7">
        <w:rPr>
          <w:rFonts w:eastAsia="Calibri" w:cs="Arial"/>
          <w:szCs w:val="22"/>
          <w:lang w:eastAsia="en-US"/>
        </w:rPr>
        <w:t>Sensbilisierungsma</w:t>
      </w:r>
      <w:r w:rsidR="006129A7">
        <w:rPr>
          <w:rFonts w:eastAsia="Calibri" w:cs="Arial"/>
          <w:szCs w:val="22"/>
          <w:lang w:eastAsia="en-US"/>
        </w:rPr>
        <w:t>ß</w:t>
      </w:r>
      <w:r w:rsidR="006129A7">
        <w:rPr>
          <w:rFonts w:eastAsia="Calibri" w:cs="Arial"/>
          <w:szCs w:val="22"/>
          <w:lang w:eastAsia="en-US"/>
        </w:rPr>
        <w:t>nahmen</w:t>
      </w:r>
      <w:r w:rsidR="003C3010">
        <w:rPr>
          <w:rFonts w:eastAsia="Calibri" w:cs="Arial"/>
          <w:szCs w:val="22"/>
          <w:lang w:eastAsia="en-US"/>
        </w:rPr>
        <w:t xml:space="preserve"> in Tunesien und Marokko.</w:t>
      </w:r>
      <w:r w:rsidRPr="002B720B">
        <w:rPr>
          <w:rFonts w:eastAsia="Calibri" w:cs="Arial"/>
          <w:szCs w:val="22"/>
          <w:lang w:eastAsia="en-US"/>
        </w:rPr>
        <w:t xml:space="preserve"> </w:t>
      </w:r>
      <w:r>
        <w:rPr>
          <w:rFonts w:eastAsia="Calibri" w:cs="Arial"/>
          <w:szCs w:val="22"/>
          <w:lang w:eastAsia="en-US"/>
        </w:rPr>
        <w:t xml:space="preserve">Alle </w:t>
      </w:r>
      <w:r w:rsidR="00BA3026">
        <w:rPr>
          <w:rFonts w:eastAsia="Calibri" w:cs="Arial"/>
          <w:szCs w:val="22"/>
          <w:lang w:eastAsia="en-US"/>
        </w:rPr>
        <w:t xml:space="preserve">Studien </w:t>
      </w:r>
      <w:r w:rsidRPr="002B720B">
        <w:rPr>
          <w:rFonts w:eastAsia="Calibri" w:cs="Arial"/>
          <w:szCs w:val="22"/>
          <w:lang w:eastAsia="en-US"/>
        </w:rPr>
        <w:t xml:space="preserve">liegen vor und sind </w:t>
      </w:r>
      <w:r>
        <w:rPr>
          <w:rFonts w:eastAsia="Calibri" w:cs="Arial"/>
          <w:szCs w:val="22"/>
          <w:lang w:eastAsia="en-US"/>
        </w:rPr>
        <w:t>online verfügbar</w:t>
      </w:r>
      <w:r w:rsidRPr="002B720B">
        <w:rPr>
          <w:rFonts w:eastAsia="Calibri" w:cs="Arial"/>
          <w:szCs w:val="22"/>
          <w:lang w:eastAsia="en-US"/>
        </w:rPr>
        <w:t>. In Vo</w:t>
      </w:r>
      <w:r w:rsidRPr="002B720B">
        <w:rPr>
          <w:rFonts w:eastAsia="Calibri" w:cs="Arial"/>
          <w:szCs w:val="22"/>
          <w:lang w:eastAsia="en-US"/>
        </w:rPr>
        <w:t>r</w:t>
      </w:r>
      <w:r w:rsidRPr="002B720B">
        <w:rPr>
          <w:rFonts w:eastAsia="Calibri" w:cs="Arial"/>
          <w:szCs w:val="22"/>
          <w:lang w:eastAsia="en-US"/>
        </w:rPr>
        <w:t>bereitung befinden sich zwei Markt- bzw. Potentialanalysen für solare Wasserpumpen und Off-Grid Hybrid-Systeme in Ägypten (mit RCREEE) sowie eine Unters</w:t>
      </w:r>
      <w:r w:rsidRPr="002B720B">
        <w:rPr>
          <w:rFonts w:eastAsia="Calibri" w:cs="Arial"/>
          <w:szCs w:val="22"/>
          <w:lang w:eastAsia="en-US"/>
        </w:rPr>
        <w:t>u</w:t>
      </w:r>
      <w:r w:rsidRPr="002B720B">
        <w:rPr>
          <w:rFonts w:eastAsia="Calibri" w:cs="Arial"/>
          <w:szCs w:val="22"/>
          <w:lang w:eastAsia="en-US"/>
        </w:rPr>
        <w:t>chung der sozio-ökonomischen Effekte der geplanten Öffnung des marokkanischen Niede</w:t>
      </w:r>
      <w:r w:rsidRPr="002B720B">
        <w:rPr>
          <w:rFonts w:eastAsia="Calibri" w:cs="Arial"/>
          <w:szCs w:val="22"/>
          <w:lang w:eastAsia="en-US"/>
        </w:rPr>
        <w:t>r</w:t>
      </w:r>
      <w:r w:rsidRPr="002B720B">
        <w:rPr>
          <w:rFonts w:eastAsia="Calibri" w:cs="Arial"/>
          <w:szCs w:val="22"/>
          <w:lang w:eastAsia="en-US"/>
        </w:rPr>
        <w:t>spannungsnetzes (mit PSMed). Außerdem liegt eine Untersuchung vor über die Markt- bzw. Beschäftigungse</w:t>
      </w:r>
      <w:r w:rsidRPr="002B720B">
        <w:rPr>
          <w:rFonts w:eastAsia="Calibri" w:cs="Arial"/>
          <w:szCs w:val="22"/>
          <w:lang w:eastAsia="en-US"/>
        </w:rPr>
        <w:t>f</w:t>
      </w:r>
      <w:r w:rsidRPr="002B720B">
        <w:rPr>
          <w:rFonts w:eastAsia="Calibri" w:cs="Arial"/>
          <w:szCs w:val="22"/>
          <w:lang w:eastAsia="en-US"/>
        </w:rPr>
        <w:t xml:space="preserve">fekte einer </w:t>
      </w:r>
      <w:r>
        <w:rPr>
          <w:rFonts w:eastAsia="Calibri" w:cs="Arial"/>
          <w:szCs w:val="22"/>
          <w:lang w:eastAsia="en-US"/>
        </w:rPr>
        <w:t>Öffnung des</w:t>
      </w:r>
      <w:r w:rsidRPr="002B720B">
        <w:rPr>
          <w:rFonts w:eastAsia="Calibri" w:cs="Arial"/>
          <w:szCs w:val="22"/>
          <w:lang w:eastAsia="en-US"/>
        </w:rPr>
        <w:t xml:space="preserve"> tunesischen Stromsektor</w:t>
      </w:r>
      <w:r>
        <w:rPr>
          <w:rFonts w:eastAsia="Calibri" w:cs="Arial"/>
          <w:szCs w:val="22"/>
          <w:lang w:eastAsia="en-US"/>
        </w:rPr>
        <w:t>s</w:t>
      </w:r>
      <w:r w:rsidRPr="002B720B">
        <w:rPr>
          <w:rFonts w:eastAsia="Calibri" w:cs="Arial"/>
          <w:szCs w:val="22"/>
          <w:lang w:eastAsia="en-US"/>
        </w:rPr>
        <w:t xml:space="preserve"> </w:t>
      </w:r>
      <w:r>
        <w:rPr>
          <w:rFonts w:eastAsia="Calibri" w:cs="Arial"/>
          <w:szCs w:val="22"/>
          <w:lang w:eastAsia="en-US"/>
        </w:rPr>
        <w:t>für</w:t>
      </w:r>
      <w:r w:rsidRPr="002B720B">
        <w:rPr>
          <w:rFonts w:eastAsia="Calibri" w:cs="Arial"/>
          <w:szCs w:val="22"/>
          <w:lang w:eastAsia="en-US"/>
        </w:rPr>
        <w:t xml:space="preserve"> private </w:t>
      </w:r>
      <w:r w:rsidR="009C07B4">
        <w:rPr>
          <w:rFonts w:eastAsia="Calibri" w:cs="Arial"/>
          <w:szCs w:val="22"/>
          <w:lang w:eastAsia="en-US"/>
        </w:rPr>
        <w:t>unabhängige</w:t>
      </w:r>
      <w:r w:rsidR="009C07B4" w:rsidRPr="009C07B4">
        <w:rPr>
          <w:rFonts w:eastAsia="Calibri" w:cs="Arial"/>
          <w:szCs w:val="22"/>
          <w:lang w:eastAsia="en-US"/>
        </w:rPr>
        <w:t xml:space="preserve"> Prüfstellen </w:t>
      </w:r>
      <w:r w:rsidRPr="002B720B">
        <w:rPr>
          <w:rFonts w:eastAsia="Calibri" w:cs="Arial"/>
          <w:szCs w:val="22"/>
          <w:lang w:eastAsia="en-US"/>
        </w:rPr>
        <w:t>(g</w:t>
      </w:r>
      <w:r w:rsidRPr="002B720B">
        <w:rPr>
          <w:rFonts w:eastAsia="Calibri" w:cs="Arial"/>
          <w:szCs w:val="22"/>
          <w:lang w:eastAsia="en-US"/>
        </w:rPr>
        <w:t>e</w:t>
      </w:r>
      <w:r w:rsidRPr="002B720B">
        <w:rPr>
          <w:rFonts w:eastAsia="Calibri" w:cs="Arial"/>
          <w:szCs w:val="22"/>
          <w:lang w:eastAsia="en-US"/>
        </w:rPr>
        <w:t>mein</w:t>
      </w:r>
      <w:r>
        <w:rPr>
          <w:rFonts w:eastAsia="Calibri" w:cs="Arial"/>
          <w:szCs w:val="22"/>
          <w:lang w:eastAsia="en-US"/>
        </w:rPr>
        <w:t xml:space="preserve">sam mit </w:t>
      </w:r>
      <w:r w:rsidR="004F406F">
        <w:rPr>
          <w:rFonts w:eastAsia="Calibri" w:cs="Arial"/>
          <w:szCs w:val="22"/>
          <w:lang w:eastAsia="en-US"/>
        </w:rPr>
        <w:t>dem TZ-Vorhaben „</w:t>
      </w:r>
      <w:r w:rsidR="004F406F" w:rsidRPr="00E12360">
        <w:rPr>
          <w:rFonts w:eastAsia="Calibri" w:cs="Arial"/>
          <w:i/>
          <w:szCs w:val="22"/>
          <w:lang w:eastAsia="en-US"/>
        </w:rPr>
        <w:t>Développement du Marché solaire en Tunisie</w:t>
      </w:r>
      <w:r w:rsidR="004F406F">
        <w:rPr>
          <w:rFonts w:eastAsia="Calibri" w:cs="Arial"/>
          <w:szCs w:val="22"/>
          <w:lang w:eastAsia="en-US"/>
        </w:rPr>
        <w:t xml:space="preserve">“ </w:t>
      </w:r>
      <w:r w:rsidR="00BA3026">
        <w:rPr>
          <w:rFonts w:eastAsia="Calibri" w:cs="Arial"/>
          <w:szCs w:val="22"/>
          <w:lang w:eastAsia="en-US"/>
        </w:rPr>
        <w:t>(</w:t>
      </w:r>
      <w:r>
        <w:rPr>
          <w:rFonts w:eastAsia="Calibri" w:cs="Arial"/>
          <w:szCs w:val="22"/>
          <w:lang w:eastAsia="en-US"/>
        </w:rPr>
        <w:t>DMS</w:t>
      </w:r>
      <w:r w:rsidR="00BA3026">
        <w:rPr>
          <w:rFonts w:eastAsia="Calibri" w:cs="Arial"/>
          <w:szCs w:val="22"/>
          <w:lang w:eastAsia="en-US"/>
        </w:rPr>
        <w:t>)</w:t>
      </w:r>
      <w:r>
        <w:rPr>
          <w:rFonts w:eastAsia="Calibri" w:cs="Arial"/>
          <w:szCs w:val="22"/>
          <w:lang w:eastAsia="en-US"/>
        </w:rPr>
        <w:t>, ANME und STEG).</w:t>
      </w:r>
      <w:r w:rsidRPr="00F357B6">
        <w:rPr>
          <w:rFonts w:eastAsia="Calibri" w:cs="Arial"/>
          <w:szCs w:val="22"/>
          <w:lang w:eastAsia="en-US"/>
        </w:rPr>
        <w:t xml:space="preserve"> </w:t>
      </w:r>
      <w:r>
        <w:rPr>
          <w:rFonts w:eastAsia="Calibri" w:cs="Arial"/>
          <w:szCs w:val="22"/>
          <w:lang w:eastAsia="en-US"/>
        </w:rPr>
        <w:t>Außerdem besteht eine Übereinkunft mit der ANME bzgl. der Unterstü</w:t>
      </w:r>
      <w:r>
        <w:rPr>
          <w:rFonts w:eastAsia="Calibri" w:cs="Arial"/>
          <w:szCs w:val="22"/>
          <w:lang w:eastAsia="en-US"/>
        </w:rPr>
        <w:t>t</w:t>
      </w:r>
      <w:r>
        <w:rPr>
          <w:rFonts w:eastAsia="Calibri" w:cs="Arial"/>
          <w:szCs w:val="22"/>
          <w:lang w:eastAsia="en-US"/>
        </w:rPr>
        <w:t>zung eines Qualitätsprograms für Ingenieurbüros durch RE-ACTIVATE</w:t>
      </w:r>
      <w:r w:rsidR="000C16E6">
        <w:rPr>
          <w:rFonts w:eastAsia="Calibri" w:cs="Arial"/>
          <w:szCs w:val="22"/>
          <w:lang w:eastAsia="en-US"/>
        </w:rPr>
        <w:t>;</w:t>
      </w:r>
      <w:r>
        <w:rPr>
          <w:rFonts w:eastAsia="Calibri" w:cs="Arial"/>
          <w:szCs w:val="22"/>
          <w:lang w:eastAsia="en-US"/>
        </w:rPr>
        <w:t xml:space="preserve"> die Basisstudie hie</w:t>
      </w:r>
      <w:r>
        <w:rPr>
          <w:rFonts w:eastAsia="Calibri" w:cs="Arial"/>
          <w:szCs w:val="22"/>
          <w:lang w:eastAsia="en-US"/>
        </w:rPr>
        <w:t>r</w:t>
      </w:r>
      <w:r>
        <w:rPr>
          <w:rFonts w:eastAsia="Calibri" w:cs="Arial"/>
          <w:szCs w:val="22"/>
          <w:lang w:eastAsia="en-US"/>
        </w:rPr>
        <w:t>für ist in Vorbereitung.</w:t>
      </w:r>
    </w:p>
    <w:p w:rsidR="009C07B4" w:rsidRPr="002B720B" w:rsidRDefault="00C93429" w:rsidP="009C07B4">
      <w:pPr>
        <w:spacing w:after="120"/>
        <w:jc w:val="both"/>
        <w:rPr>
          <w:rFonts w:eastAsia="Calibri" w:cs="Arial"/>
          <w:szCs w:val="22"/>
          <w:lang w:eastAsia="en-US"/>
        </w:rPr>
      </w:pPr>
      <w:r w:rsidRPr="002B720B">
        <w:rPr>
          <w:rFonts w:eastAsia="Calibri" w:cs="Arial"/>
          <w:szCs w:val="22"/>
          <w:lang w:eastAsia="en-US"/>
        </w:rPr>
        <w:t>D</w:t>
      </w:r>
      <w:r>
        <w:rPr>
          <w:rFonts w:eastAsia="Calibri" w:cs="Arial"/>
          <w:szCs w:val="22"/>
          <w:lang w:eastAsia="en-US"/>
        </w:rPr>
        <w:t xml:space="preserve">ie Ergebnisse und Empfehlungen aller vier vorliegenden Studien wurden von den Partnern positiv bewertet und werden in die Umsetzung gehen. Zu nennen wären hier auch weitere Maßnahmen, die gemeinsam mit den Partnern (und teilweise auch im Rahmen bzw. auf der Grundlage der </w:t>
      </w:r>
      <w:r w:rsidR="006129A7">
        <w:rPr>
          <w:rFonts w:eastAsia="Calibri" w:cs="Arial"/>
          <w:szCs w:val="22"/>
          <w:lang w:eastAsia="en-US"/>
        </w:rPr>
        <w:t>zuvor genannten</w:t>
      </w:r>
      <w:r>
        <w:rPr>
          <w:rFonts w:eastAsia="Calibri" w:cs="Arial"/>
          <w:szCs w:val="22"/>
          <w:lang w:eastAsia="en-US"/>
        </w:rPr>
        <w:t xml:space="preserve"> Untersuchungen und Politikdialoge) ausgewählt wurden, wie die Förderung von EE in der Lederindustrie von Fes sowie der Nahrungsmittelindustrie von Agadir oder aber die Unterstützung der Stadtverwaltungen von Agadir, Bizerte und Nabeul bei der Nutzung von RE/EE zugunsten lokaler Beschäftigungs- und Wertschöpfungseffekte. Die Umsetzung dieser Maßnahmen wird dann in Bezug auf </w:t>
      </w:r>
      <w:r w:rsidRPr="002B720B">
        <w:rPr>
          <w:rFonts w:eastAsia="Calibri" w:cs="Arial"/>
          <w:szCs w:val="22"/>
          <w:lang w:eastAsia="en-US"/>
        </w:rPr>
        <w:t xml:space="preserve">Indikator 2 </w:t>
      </w:r>
      <w:r>
        <w:rPr>
          <w:rFonts w:eastAsia="Calibri" w:cs="Arial"/>
          <w:szCs w:val="22"/>
          <w:lang w:eastAsia="en-US"/>
        </w:rPr>
        <w:t>thematisiert,</w:t>
      </w:r>
      <w:r w:rsidRPr="002B720B">
        <w:rPr>
          <w:rFonts w:eastAsia="Calibri" w:cs="Arial"/>
          <w:szCs w:val="22"/>
          <w:lang w:eastAsia="en-US"/>
        </w:rPr>
        <w:t xml:space="preserve"> Auswi</w:t>
      </w:r>
      <w:r w:rsidRPr="002B720B">
        <w:rPr>
          <w:rFonts w:eastAsia="Calibri" w:cs="Arial"/>
          <w:szCs w:val="22"/>
          <w:lang w:eastAsia="en-US"/>
        </w:rPr>
        <w:t>r</w:t>
      </w:r>
      <w:r w:rsidRPr="002B720B">
        <w:rPr>
          <w:rFonts w:eastAsia="Calibri" w:cs="Arial"/>
          <w:szCs w:val="22"/>
          <w:lang w:eastAsia="en-US"/>
        </w:rPr>
        <w:t xml:space="preserve">kungen und Implikationen für </w:t>
      </w:r>
      <w:r w:rsidRPr="00051A30">
        <w:rPr>
          <w:rFonts w:eastAsia="Calibri" w:cs="Arial"/>
          <w:i/>
          <w:szCs w:val="22"/>
          <w:lang w:eastAsia="en-US"/>
        </w:rPr>
        <w:t>Skill- und Capacity-Buildung</w:t>
      </w:r>
      <w:r w:rsidRPr="002B720B">
        <w:rPr>
          <w:rFonts w:eastAsia="Calibri" w:cs="Arial"/>
          <w:szCs w:val="22"/>
          <w:lang w:eastAsia="en-US"/>
        </w:rPr>
        <w:t xml:space="preserve"> werden </w:t>
      </w:r>
      <w:r>
        <w:rPr>
          <w:rFonts w:eastAsia="Calibri" w:cs="Arial"/>
          <w:szCs w:val="22"/>
          <w:lang w:eastAsia="en-US"/>
        </w:rPr>
        <w:t>in</w:t>
      </w:r>
      <w:r w:rsidRPr="002B720B">
        <w:rPr>
          <w:rFonts w:eastAsia="Calibri" w:cs="Arial"/>
          <w:szCs w:val="22"/>
          <w:lang w:eastAsia="en-US"/>
        </w:rPr>
        <w:t xml:space="preserve"> Bezug auf Indikator 3 adressiert, und die Einspeisung und Verbreitung auf regionaler und internationaler Ebene folgt schließlich </w:t>
      </w:r>
      <w:r>
        <w:rPr>
          <w:rFonts w:eastAsia="Calibri" w:cs="Arial"/>
          <w:szCs w:val="22"/>
          <w:lang w:eastAsia="en-US"/>
        </w:rPr>
        <w:t>in</w:t>
      </w:r>
      <w:r w:rsidRPr="002B720B">
        <w:rPr>
          <w:rFonts w:eastAsia="Calibri" w:cs="Arial"/>
          <w:szCs w:val="22"/>
          <w:lang w:eastAsia="en-US"/>
        </w:rPr>
        <w:t xml:space="preserve"> Bezug auf Indikator 4. </w:t>
      </w:r>
      <w:r>
        <w:rPr>
          <w:rFonts w:eastAsia="Calibri" w:cs="Arial"/>
          <w:szCs w:val="22"/>
          <w:lang w:eastAsia="en-US"/>
        </w:rPr>
        <w:t>Z</w:t>
      </w:r>
      <w:r w:rsidRPr="002B720B">
        <w:rPr>
          <w:rFonts w:eastAsia="Calibri" w:cs="Arial"/>
          <w:szCs w:val="22"/>
          <w:lang w:eastAsia="en-US"/>
        </w:rPr>
        <w:t>u beachten</w:t>
      </w:r>
      <w:r w:rsidRPr="00E24EB1">
        <w:rPr>
          <w:rFonts w:eastAsia="Calibri" w:cs="Arial"/>
          <w:szCs w:val="22"/>
          <w:lang w:eastAsia="en-US"/>
        </w:rPr>
        <w:t xml:space="preserve"> </w:t>
      </w:r>
      <w:r w:rsidRPr="002B720B">
        <w:rPr>
          <w:rFonts w:eastAsia="Calibri" w:cs="Arial"/>
          <w:szCs w:val="22"/>
          <w:lang w:eastAsia="en-US"/>
        </w:rPr>
        <w:t xml:space="preserve">ist jedoch, dass alle diese </w:t>
      </w:r>
      <w:r>
        <w:rPr>
          <w:rFonts w:eastAsia="Calibri" w:cs="Arial"/>
          <w:szCs w:val="22"/>
          <w:lang w:eastAsia="en-US"/>
        </w:rPr>
        <w:t>a</w:t>
      </w:r>
      <w:r w:rsidRPr="002B720B">
        <w:rPr>
          <w:rFonts w:eastAsia="Calibri" w:cs="Arial"/>
          <w:szCs w:val="22"/>
          <w:lang w:eastAsia="en-US"/>
        </w:rPr>
        <w:t>naly</w:t>
      </w:r>
      <w:r>
        <w:rPr>
          <w:rFonts w:eastAsia="Calibri" w:cs="Arial"/>
          <w:szCs w:val="22"/>
          <w:lang w:eastAsia="en-US"/>
        </w:rPr>
        <w:t>t</w:t>
      </w:r>
      <w:r>
        <w:rPr>
          <w:rFonts w:eastAsia="Calibri" w:cs="Arial"/>
          <w:szCs w:val="22"/>
          <w:lang w:eastAsia="en-US"/>
        </w:rPr>
        <w:t>i</w:t>
      </w:r>
      <w:r>
        <w:rPr>
          <w:rFonts w:eastAsia="Calibri" w:cs="Arial"/>
          <w:szCs w:val="22"/>
          <w:lang w:eastAsia="en-US"/>
        </w:rPr>
        <w:t>schen Arbeit</w:t>
      </w:r>
      <w:r w:rsidRPr="002B720B">
        <w:rPr>
          <w:rFonts w:eastAsia="Calibri" w:cs="Arial"/>
          <w:szCs w:val="22"/>
          <w:lang w:eastAsia="en-US"/>
        </w:rPr>
        <w:t xml:space="preserve">en auch ein wichtiges kommunikatives Element beinhalten, da sie stets von </w:t>
      </w:r>
      <w:r>
        <w:rPr>
          <w:rFonts w:eastAsia="Calibri" w:cs="Arial"/>
          <w:szCs w:val="22"/>
          <w:lang w:eastAsia="en-US"/>
        </w:rPr>
        <w:t>u</w:t>
      </w:r>
      <w:r>
        <w:rPr>
          <w:rFonts w:eastAsia="Calibri" w:cs="Arial"/>
          <w:szCs w:val="22"/>
          <w:lang w:eastAsia="en-US"/>
        </w:rPr>
        <w:t>m</w:t>
      </w:r>
      <w:r>
        <w:rPr>
          <w:rFonts w:eastAsia="Calibri" w:cs="Arial"/>
          <w:szCs w:val="22"/>
          <w:lang w:eastAsia="en-US"/>
        </w:rPr>
        <w:t xml:space="preserve">fangreichen vor- und nachgelagerten </w:t>
      </w:r>
      <w:r w:rsidRPr="00E12360">
        <w:rPr>
          <w:rFonts w:eastAsia="Calibri" w:cs="Arial"/>
          <w:i/>
          <w:szCs w:val="22"/>
          <w:lang w:eastAsia="en-US"/>
        </w:rPr>
        <w:t>Outreach</w:t>
      </w:r>
      <w:r w:rsidR="00E12360">
        <w:rPr>
          <w:rFonts w:eastAsia="Calibri" w:cs="Arial"/>
          <w:i/>
          <w:szCs w:val="22"/>
          <w:lang w:eastAsia="en-US"/>
        </w:rPr>
        <w:t>-</w:t>
      </w:r>
      <w:r w:rsidR="00E12360">
        <w:rPr>
          <w:rFonts w:eastAsia="Calibri" w:cs="Arial"/>
          <w:szCs w:val="22"/>
          <w:lang w:eastAsia="en-US"/>
        </w:rPr>
        <w:t>A</w:t>
      </w:r>
      <w:r w:rsidRPr="002B720B">
        <w:rPr>
          <w:rFonts w:eastAsia="Calibri" w:cs="Arial"/>
          <w:szCs w:val="22"/>
          <w:lang w:eastAsia="en-US"/>
        </w:rPr>
        <w:t>ktivitäten begleitet werden und insofern e</w:t>
      </w:r>
      <w:r w:rsidRPr="002B720B">
        <w:rPr>
          <w:rFonts w:eastAsia="Calibri" w:cs="Arial"/>
          <w:szCs w:val="22"/>
          <w:lang w:eastAsia="en-US"/>
        </w:rPr>
        <w:t>i</w:t>
      </w:r>
      <w:r w:rsidRPr="002B720B">
        <w:rPr>
          <w:rFonts w:eastAsia="Calibri" w:cs="Arial"/>
          <w:szCs w:val="22"/>
          <w:lang w:eastAsia="en-US"/>
        </w:rPr>
        <w:t xml:space="preserve">ne wichtige Ergänzung zu den </w:t>
      </w:r>
      <w:r w:rsidR="006129A7" w:rsidRPr="002B720B">
        <w:rPr>
          <w:rFonts w:eastAsia="Calibri" w:cs="Arial"/>
          <w:szCs w:val="22"/>
          <w:lang w:eastAsia="en-US"/>
        </w:rPr>
        <w:t>zuvor genannten</w:t>
      </w:r>
      <w:r w:rsidRPr="002B720B">
        <w:rPr>
          <w:rFonts w:eastAsia="Calibri" w:cs="Arial"/>
          <w:szCs w:val="22"/>
          <w:lang w:eastAsia="en-US"/>
        </w:rPr>
        <w:t xml:space="preserve"> „eigentlichen“ Strategieaktivitäten darstellen</w:t>
      </w:r>
      <w:r>
        <w:rPr>
          <w:rFonts w:eastAsia="Calibri" w:cs="Arial"/>
          <w:szCs w:val="22"/>
          <w:lang w:eastAsia="en-US"/>
        </w:rPr>
        <w:t>.</w:t>
      </w:r>
    </w:p>
    <w:p w:rsidR="009C07B4" w:rsidRDefault="00C93429" w:rsidP="009C07B4">
      <w:pPr>
        <w:spacing w:after="120"/>
        <w:jc w:val="both"/>
        <w:rPr>
          <w:rFonts w:eastAsia="Cambria" w:cs="Arial"/>
          <w:bCs/>
          <w:szCs w:val="22"/>
          <w:lang w:eastAsia="fr-FR"/>
        </w:rPr>
      </w:pPr>
      <w:r w:rsidRPr="002B720B">
        <w:rPr>
          <w:rFonts w:eastAsia="Calibri" w:cs="Arial"/>
          <w:szCs w:val="22"/>
          <w:lang w:eastAsia="en-US"/>
        </w:rPr>
        <w:t>Zu nennen wären an dieser Stelle auch die jüngst durchgeführte Erfassung und Visualisi</w:t>
      </w:r>
      <w:r w:rsidRPr="002B720B">
        <w:rPr>
          <w:rFonts w:eastAsia="Calibri" w:cs="Arial"/>
          <w:szCs w:val="22"/>
          <w:lang w:eastAsia="en-US"/>
        </w:rPr>
        <w:t>e</w:t>
      </w:r>
      <w:r w:rsidRPr="002B720B">
        <w:rPr>
          <w:rFonts w:eastAsia="Calibri" w:cs="Arial"/>
          <w:szCs w:val="22"/>
          <w:lang w:eastAsia="en-US"/>
        </w:rPr>
        <w:t>rung der ägyptischen Ausschreibungs- u</w:t>
      </w:r>
      <w:r>
        <w:rPr>
          <w:rFonts w:eastAsia="Calibri" w:cs="Arial"/>
          <w:szCs w:val="22"/>
          <w:lang w:eastAsia="en-US"/>
        </w:rPr>
        <w:t>nd Genehmigungsverfahren</w:t>
      </w:r>
      <w:r w:rsidR="00B87E49">
        <w:rPr>
          <w:rFonts w:eastAsia="Calibri" w:cs="Arial"/>
          <w:szCs w:val="22"/>
          <w:lang w:eastAsia="en-US"/>
        </w:rPr>
        <w:t xml:space="preserve"> in Form eines Posters</w:t>
      </w:r>
      <w:r>
        <w:rPr>
          <w:rFonts w:eastAsia="Calibri" w:cs="Arial"/>
          <w:szCs w:val="22"/>
          <w:lang w:eastAsia="en-US"/>
        </w:rPr>
        <w:t xml:space="preserve"> für gro</w:t>
      </w:r>
      <w:r w:rsidRPr="002B720B">
        <w:rPr>
          <w:rFonts w:eastAsia="Calibri" w:cs="Arial"/>
          <w:szCs w:val="22"/>
          <w:lang w:eastAsia="en-US"/>
        </w:rPr>
        <w:t>ße und k</w:t>
      </w:r>
      <w:r w:rsidR="00E12360">
        <w:rPr>
          <w:rFonts w:eastAsia="Calibri" w:cs="Arial"/>
          <w:szCs w:val="22"/>
          <w:lang w:eastAsia="en-US"/>
        </w:rPr>
        <w:t>leine PV-</w:t>
      </w:r>
      <w:r w:rsidRPr="002B720B">
        <w:rPr>
          <w:rFonts w:eastAsia="Calibri" w:cs="Arial"/>
          <w:szCs w:val="22"/>
          <w:lang w:eastAsia="en-US"/>
        </w:rPr>
        <w:t xml:space="preserve">Anlagen mit Hilfe eines </w:t>
      </w:r>
      <w:r w:rsidRPr="00E12360">
        <w:rPr>
          <w:rFonts w:eastAsia="Calibri" w:cs="Arial"/>
          <w:i/>
          <w:szCs w:val="22"/>
          <w:lang w:eastAsia="en-US"/>
        </w:rPr>
        <w:t>Roadmap-Tools</w:t>
      </w:r>
      <w:r w:rsidRPr="002B720B">
        <w:rPr>
          <w:rFonts w:eastAsia="Calibri" w:cs="Arial"/>
          <w:szCs w:val="22"/>
          <w:lang w:eastAsia="en-US"/>
        </w:rPr>
        <w:t>, welches RCREEE entw</w:t>
      </w:r>
      <w:r w:rsidRPr="002B720B">
        <w:rPr>
          <w:rFonts w:eastAsia="Calibri" w:cs="Arial"/>
          <w:szCs w:val="22"/>
          <w:lang w:eastAsia="en-US"/>
        </w:rPr>
        <w:t>i</w:t>
      </w:r>
      <w:r w:rsidRPr="002B720B">
        <w:rPr>
          <w:rFonts w:eastAsia="Calibri" w:cs="Arial"/>
          <w:szCs w:val="22"/>
          <w:lang w:eastAsia="en-US"/>
        </w:rPr>
        <w:t>ckelt und erstmals für Jordanien eingesetzt hat. RE-ACTIVATE finanziert die Replizierung dieser Maßnahme im Rahmen seiner drei Fokusländer. Das Ergebnis erleichtert nicht nur das Verständn</w:t>
      </w:r>
      <w:r w:rsidR="00E12360">
        <w:rPr>
          <w:rFonts w:eastAsia="Calibri" w:cs="Arial"/>
          <w:szCs w:val="22"/>
          <w:lang w:eastAsia="en-US"/>
        </w:rPr>
        <w:t>is der immer noch sehr komplizierten</w:t>
      </w:r>
      <w:r w:rsidRPr="002B720B">
        <w:rPr>
          <w:rFonts w:eastAsia="Calibri" w:cs="Arial"/>
          <w:szCs w:val="22"/>
          <w:lang w:eastAsia="en-US"/>
        </w:rPr>
        <w:t xml:space="preserve"> Verfahren, es wurden bei der Entwic</w:t>
      </w:r>
      <w:r w:rsidRPr="002B720B">
        <w:rPr>
          <w:rFonts w:eastAsia="Calibri" w:cs="Arial"/>
          <w:szCs w:val="22"/>
          <w:lang w:eastAsia="en-US"/>
        </w:rPr>
        <w:t>k</w:t>
      </w:r>
      <w:r w:rsidRPr="002B720B">
        <w:rPr>
          <w:rFonts w:eastAsia="Calibri" w:cs="Arial"/>
          <w:szCs w:val="22"/>
          <w:lang w:eastAsia="en-US"/>
        </w:rPr>
        <w:t>lung auch Inkohärenzen und Widersprüche rechtlicher und administrativer Natur aufgedeckt, die im schlimmsten Fall zu einem kompletten Stillstand des noch jungen und fragilen Marktes führen können. Der Grund hierfür ist wie auch andernorts die große Zahl der beteiligten Ste</w:t>
      </w:r>
      <w:r w:rsidRPr="002B720B">
        <w:rPr>
          <w:rFonts w:eastAsia="Calibri" w:cs="Arial"/>
          <w:szCs w:val="22"/>
          <w:lang w:eastAsia="en-US"/>
        </w:rPr>
        <w:t>l</w:t>
      </w:r>
      <w:r w:rsidRPr="002B720B">
        <w:rPr>
          <w:rFonts w:eastAsia="Calibri" w:cs="Arial"/>
          <w:szCs w:val="22"/>
          <w:lang w:eastAsia="en-US"/>
        </w:rPr>
        <w:t xml:space="preserve">len und die ungenügende Kommunikation zwischen diesen. Aktuell wird mit den Partnern an einer Lösung der Probleme und einer Vereinfachung der Verfahren gearbeitet. Geplant ist, dieses Tool </w:t>
      </w:r>
      <w:r w:rsidRPr="002B720B">
        <w:rPr>
          <w:rFonts w:eastAsia="Cambria" w:cs="Arial"/>
          <w:bCs/>
          <w:szCs w:val="22"/>
          <w:lang w:eastAsia="fr-FR"/>
        </w:rPr>
        <w:t xml:space="preserve">in der </w:t>
      </w:r>
      <w:r>
        <w:rPr>
          <w:rFonts w:eastAsia="Cambria" w:cs="Arial"/>
          <w:bCs/>
          <w:szCs w:val="22"/>
          <w:lang w:eastAsia="fr-FR"/>
        </w:rPr>
        <w:t>2.</w:t>
      </w:r>
      <w:r w:rsidR="00141F8A">
        <w:rPr>
          <w:rFonts w:eastAsia="Cambria" w:cs="Arial"/>
          <w:bCs/>
          <w:szCs w:val="22"/>
          <w:lang w:eastAsia="fr-FR"/>
        </w:rPr>
        <w:t xml:space="preserve"> </w:t>
      </w:r>
      <w:r w:rsidRPr="002B720B">
        <w:rPr>
          <w:rFonts w:eastAsia="Cambria" w:cs="Arial"/>
          <w:bCs/>
          <w:szCs w:val="22"/>
          <w:lang w:eastAsia="fr-FR"/>
        </w:rPr>
        <w:t xml:space="preserve">Jahreshälfte 2016 für Tunesien anzuwenden sowie in der </w:t>
      </w:r>
      <w:r>
        <w:rPr>
          <w:rFonts w:eastAsia="Cambria" w:cs="Arial"/>
          <w:bCs/>
          <w:szCs w:val="22"/>
          <w:lang w:eastAsia="fr-FR"/>
        </w:rPr>
        <w:t>1.</w:t>
      </w:r>
      <w:r w:rsidR="00141F8A">
        <w:rPr>
          <w:rFonts w:eastAsia="Cambria" w:cs="Arial"/>
          <w:bCs/>
          <w:szCs w:val="22"/>
          <w:lang w:eastAsia="fr-FR"/>
        </w:rPr>
        <w:t xml:space="preserve"> </w:t>
      </w:r>
      <w:r>
        <w:rPr>
          <w:rFonts w:eastAsia="Cambria" w:cs="Arial"/>
          <w:bCs/>
          <w:szCs w:val="22"/>
          <w:lang w:eastAsia="fr-FR"/>
        </w:rPr>
        <w:t>Jahreshäl</w:t>
      </w:r>
      <w:r>
        <w:rPr>
          <w:rFonts w:eastAsia="Cambria" w:cs="Arial"/>
          <w:bCs/>
          <w:szCs w:val="22"/>
          <w:lang w:eastAsia="fr-FR"/>
        </w:rPr>
        <w:t>f</w:t>
      </w:r>
      <w:r>
        <w:rPr>
          <w:rFonts w:eastAsia="Cambria" w:cs="Arial"/>
          <w:bCs/>
          <w:szCs w:val="22"/>
          <w:lang w:eastAsia="fr-FR"/>
        </w:rPr>
        <w:t>te 2017 für Marokko.</w:t>
      </w:r>
    </w:p>
    <w:p w:rsidR="009C07B4" w:rsidRDefault="00C93429" w:rsidP="009C07B4">
      <w:pPr>
        <w:spacing w:after="120"/>
        <w:jc w:val="both"/>
        <w:rPr>
          <w:rFonts w:eastAsia="Calibri" w:cs="Arial"/>
          <w:szCs w:val="22"/>
          <w:lang w:eastAsia="en-US"/>
        </w:rPr>
      </w:pPr>
      <w:r w:rsidRPr="002B720B">
        <w:rPr>
          <w:rFonts w:eastAsia="Calibri" w:cs="Arial"/>
          <w:szCs w:val="22"/>
          <w:lang w:eastAsia="en-US"/>
        </w:rPr>
        <w:t xml:space="preserve">All diese analytischen Arbeiten sind nicht nur eine </w:t>
      </w:r>
      <w:r>
        <w:rPr>
          <w:rFonts w:eastAsia="Calibri" w:cs="Arial"/>
          <w:szCs w:val="22"/>
          <w:lang w:eastAsia="en-US"/>
        </w:rPr>
        <w:t xml:space="preserve">zentrale </w:t>
      </w:r>
      <w:r w:rsidRPr="002B720B">
        <w:rPr>
          <w:rFonts w:eastAsia="Calibri" w:cs="Arial"/>
          <w:szCs w:val="22"/>
          <w:lang w:eastAsia="en-US"/>
        </w:rPr>
        <w:t xml:space="preserve">Voraussetzung für die korrekte Erfassung konkreter Marktopportunitäten für beschäftigungsintensive Anwendungen sowie – darauf aufbauend </w:t>
      </w:r>
      <w:r w:rsidR="00141F8A">
        <w:rPr>
          <w:rFonts w:eastAsia="Calibri" w:cs="Arial"/>
          <w:szCs w:val="22"/>
          <w:lang w:eastAsia="en-US"/>
        </w:rPr>
        <w:t>-</w:t>
      </w:r>
      <w:r w:rsidRPr="002B720B">
        <w:rPr>
          <w:rFonts w:eastAsia="Calibri" w:cs="Arial"/>
          <w:szCs w:val="22"/>
          <w:lang w:eastAsia="en-US"/>
        </w:rPr>
        <w:t xml:space="preserve">- für die Planung geeigneter </w:t>
      </w:r>
      <w:r w:rsidRPr="00E12360">
        <w:rPr>
          <w:rFonts w:eastAsia="Calibri" w:cs="Arial"/>
          <w:i/>
          <w:szCs w:val="22"/>
          <w:lang w:eastAsia="en-US"/>
        </w:rPr>
        <w:t xml:space="preserve">Rollout-, Capacity </w:t>
      </w:r>
      <w:r w:rsidR="006129A7" w:rsidRPr="00E12360">
        <w:rPr>
          <w:rFonts w:eastAsia="Calibri" w:cs="Arial"/>
          <w:i/>
          <w:szCs w:val="22"/>
          <w:lang w:eastAsia="en-US"/>
        </w:rPr>
        <w:t>Building</w:t>
      </w:r>
      <w:r w:rsidRPr="00E12360">
        <w:rPr>
          <w:rFonts w:eastAsia="Calibri" w:cs="Arial"/>
          <w:i/>
          <w:szCs w:val="22"/>
          <w:lang w:eastAsia="en-US"/>
        </w:rPr>
        <w:t>-, Awareness Ra</w:t>
      </w:r>
      <w:r w:rsidRPr="00E12360">
        <w:rPr>
          <w:rFonts w:eastAsia="Calibri" w:cs="Arial"/>
          <w:i/>
          <w:szCs w:val="22"/>
          <w:lang w:eastAsia="en-US"/>
        </w:rPr>
        <w:t>i</w:t>
      </w:r>
      <w:r w:rsidRPr="00E12360">
        <w:rPr>
          <w:rFonts w:eastAsia="Calibri" w:cs="Arial"/>
          <w:i/>
          <w:szCs w:val="22"/>
          <w:lang w:eastAsia="en-US"/>
        </w:rPr>
        <w:t xml:space="preserve">sing- </w:t>
      </w:r>
      <w:r w:rsidRPr="00E12360">
        <w:rPr>
          <w:rFonts w:eastAsia="Calibri" w:cs="Arial"/>
          <w:szCs w:val="22"/>
          <w:lang w:eastAsia="en-US"/>
        </w:rPr>
        <w:t>und</w:t>
      </w:r>
      <w:r w:rsidRPr="00E12360">
        <w:rPr>
          <w:rFonts w:eastAsia="Calibri" w:cs="Arial"/>
          <w:i/>
          <w:szCs w:val="22"/>
          <w:lang w:eastAsia="en-US"/>
        </w:rPr>
        <w:t xml:space="preserve"> Upscaling</w:t>
      </w:r>
      <w:r w:rsidRPr="002B720B">
        <w:rPr>
          <w:rFonts w:eastAsia="Calibri" w:cs="Arial"/>
          <w:szCs w:val="22"/>
          <w:lang w:eastAsia="en-US"/>
        </w:rPr>
        <w:t>-Maßnahmen (Indikator 2, 3 &amp; 4), sie sind auch oft erst eine „Eintrittska</w:t>
      </w:r>
      <w:r w:rsidRPr="002B720B">
        <w:rPr>
          <w:rFonts w:eastAsia="Calibri" w:cs="Arial"/>
          <w:szCs w:val="22"/>
          <w:lang w:eastAsia="en-US"/>
        </w:rPr>
        <w:t>r</w:t>
      </w:r>
      <w:r w:rsidRPr="002B720B">
        <w:rPr>
          <w:rFonts w:eastAsia="Calibri" w:cs="Arial"/>
          <w:szCs w:val="22"/>
          <w:lang w:eastAsia="en-US"/>
        </w:rPr>
        <w:t xml:space="preserve">te“ für die Mitwirkung bei der Strategieentwicklung als solcher. Dies zeigt sich z.B. am Falle Ägyptens, wo RE-ACTIVATE nach der erfolgreichen Durchführung mehrerer </w:t>
      </w:r>
      <w:r>
        <w:rPr>
          <w:rFonts w:eastAsia="Calibri" w:cs="Arial"/>
          <w:szCs w:val="22"/>
          <w:lang w:eastAsia="en-US"/>
        </w:rPr>
        <w:t>Veranstaltu</w:t>
      </w:r>
      <w:r>
        <w:rPr>
          <w:rFonts w:eastAsia="Calibri" w:cs="Arial"/>
          <w:szCs w:val="22"/>
          <w:lang w:eastAsia="en-US"/>
        </w:rPr>
        <w:t>n</w:t>
      </w:r>
      <w:r>
        <w:rPr>
          <w:rFonts w:eastAsia="Calibri" w:cs="Arial"/>
          <w:szCs w:val="22"/>
          <w:lang w:eastAsia="en-US"/>
        </w:rPr>
        <w:t xml:space="preserve">gen </w:t>
      </w:r>
      <w:r w:rsidRPr="002B720B">
        <w:rPr>
          <w:rFonts w:eastAsia="Calibri" w:cs="Arial"/>
          <w:szCs w:val="22"/>
          <w:lang w:eastAsia="en-US"/>
        </w:rPr>
        <w:t>von der ägyptischen Regierung jüngst eingeladen wurde, gemeinsam mit RCREEE bei der anstehenden Novellierung des Nationalen Energieeffizienz-Aktionsplans (NEEAP) sowie bei der Entwicklung eines Nationalen Erneuerbare Energien-Aktionsplans (NREAP) mitz</w:t>
      </w:r>
      <w:r w:rsidRPr="002B720B">
        <w:rPr>
          <w:rFonts w:eastAsia="Calibri" w:cs="Arial"/>
          <w:szCs w:val="22"/>
          <w:lang w:eastAsia="en-US"/>
        </w:rPr>
        <w:t>u</w:t>
      </w:r>
      <w:r w:rsidRPr="002B720B">
        <w:rPr>
          <w:rFonts w:eastAsia="Calibri" w:cs="Arial"/>
          <w:szCs w:val="22"/>
          <w:lang w:eastAsia="en-US"/>
        </w:rPr>
        <w:t>wirken und zu helfen, diese beschäftigungswirksam auszugestalten und weiterzuentwickeln.</w:t>
      </w:r>
    </w:p>
    <w:p w:rsidR="009C07B4" w:rsidRPr="002B720B" w:rsidRDefault="00C93429" w:rsidP="009C07B4">
      <w:pPr>
        <w:spacing w:after="120"/>
        <w:jc w:val="both"/>
        <w:rPr>
          <w:rFonts w:cs="Arial"/>
          <w:b/>
          <w:szCs w:val="22"/>
        </w:rPr>
      </w:pPr>
      <w:r w:rsidRPr="002B720B">
        <w:rPr>
          <w:rFonts w:cs="Arial"/>
          <w:b/>
          <w:szCs w:val="22"/>
        </w:rPr>
        <w:t xml:space="preserve">Indikator 2: </w:t>
      </w:r>
      <w:r w:rsidRPr="0073161C">
        <w:rPr>
          <w:rFonts w:cs="Arial"/>
          <w:szCs w:val="22"/>
        </w:rPr>
        <w:t>In 2 Ländern werden Maßnahmen zur Förderung spezifischer, beschäftigung</w:t>
      </w:r>
      <w:r w:rsidRPr="0073161C">
        <w:rPr>
          <w:rFonts w:cs="Arial"/>
          <w:szCs w:val="22"/>
        </w:rPr>
        <w:t>s</w:t>
      </w:r>
      <w:r w:rsidRPr="0073161C">
        <w:rPr>
          <w:rFonts w:cs="Arial"/>
          <w:szCs w:val="22"/>
        </w:rPr>
        <w:t>intensiver Marktsegmente für RE/EE durchgeführt</w:t>
      </w:r>
      <w:r w:rsidRPr="002B720B">
        <w:rPr>
          <w:rFonts w:cs="Arial"/>
          <w:b/>
          <w:szCs w:val="22"/>
        </w:rPr>
        <w:t xml:space="preserve"> </w:t>
      </w:r>
      <w:r>
        <w:rPr>
          <w:rFonts w:cs="Arial"/>
          <w:b/>
          <w:szCs w:val="22"/>
        </w:rPr>
        <w:t>(</w:t>
      </w:r>
      <w:r w:rsidRPr="00BA264C">
        <w:rPr>
          <w:rFonts w:cs="Arial"/>
          <w:b/>
          <w:szCs w:val="22"/>
        </w:rPr>
        <w:t xml:space="preserve">Basiswert: 0; Zielwert: </w:t>
      </w:r>
      <w:r>
        <w:rPr>
          <w:rFonts w:cs="Arial"/>
          <w:b/>
          <w:szCs w:val="22"/>
        </w:rPr>
        <w:t xml:space="preserve">3 </w:t>
      </w:r>
      <w:r w:rsidRPr="0073161C">
        <w:rPr>
          <w:rFonts w:cs="Arial"/>
          <w:szCs w:val="22"/>
        </w:rPr>
        <w:t>Förderma</w:t>
      </w:r>
      <w:r w:rsidRPr="0073161C">
        <w:rPr>
          <w:rFonts w:cs="Arial"/>
          <w:szCs w:val="22"/>
        </w:rPr>
        <w:t>ß</w:t>
      </w:r>
      <w:r w:rsidRPr="0073161C">
        <w:rPr>
          <w:rFonts w:cs="Arial"/>
          <w:szCs w:val="22"/>
        </w:rPr>
        <w:t>nahmen zu mind</w:t>
      </w:r>
      <w:r>
        <w:rPr>
          <w:rFonts w:cs="Arial"/>
          <w:szCs w:val="22"/>
        </w:rPr>
        <w:t>.</w:t>
      </w:r>
      <w:r w:rsidRPr="0073161C">
        <w:rPr>
          <w:rFonts w:cs="Arial"/>
          <w:szCs w:val="22"/>
        </w:rPr>
        <w:t xml:space="preserve"> </w:t>
      </w:r>
      <w:r w:rsidRPr="0073161C">
        <w:rPr>
          <w:rFonts w:cs="Arial"/>
          <w:b/>
          <w:szCs w:val="22"/>
        </w:rPr>
        <w:t>3</w:t>
      </w:r>
      <w:r w:rsidRPr="0073161C">
        <w:rPr>
          <w:rFonts w:cs="Arial"/>
          <w:szCs w:val="22"/>
        </w:rPr>
        <w:t xml:space="preserve"> Marktsegmenten</w:t>
      </w:r>
      <w:r w:rsidRPr="00BA264C">
        <w:rPr>
          <w:rFonts w:cs="Arial"/>
          <w:b/>
          <w:szCs w:val="22"/>
        </w:rPr>
        <w:t xml:space="preserve">; Istwert: </w:t>
      </w:r>
      <w:r>
        <w:rPr>
          <w:rFonts w:cs="Arial"/>
          <w:b/>
          <w:szCs w:val="22"/>
        </w:rPr>
        <w:t>3</w:t>
      </w:r>
      <w:r w:rsidRPr="00BA264C">
        <w:rPr>
          <w:rFonts w:cs="Arial"/>
          <w:b/>
          <w:szCs w:val="22"/>
        </w:rPr>
        <w:t xml:space="preserve"> </w:t>
      </w:r>
      <w:r w:rsidRPr="0073161C">
        <w:rPr>
          <w:rFonts w:cs="Arial"/>
          <w:szCs w:val="22"/>
        </w:rPr>
        <w:t>Maßnahmen in</w:t>
      </w:r>
      <w:r>
        <w:rPr>
          <w:rFonts w:cs="Arial"/>
          <w:b/>
          <w:szCs w:val="22"/>
        </w:rPr>
        <w:t xml:space="preserve"> 3 </w:t>
      </w:r>
      <w:r w:rsidRPr="0073161C">
        <w:rPr>
          <w:rFonts w:cs="Arial"/>
          <w:szCs w:val="22"/>
        </w:rPr>
        <w:t>Segmenten</w:t>
      </w:r>
      <w:r>
        <w:rPr>
          <w:rFonts w:cs="Arial"/>
          <w:b/>
          <w:szCs w:val="22"/>
        </w:rPr>
        <w:t>).</w:t>
      </w:r>
    </w:p>
    <w:p w:rsidR="009C07B4" w:rsidRPr="002B720B" w:rsidRDefault="00C93429" w:rsidP="009C07B4">
      <w:pPr>
        <w:spacing w:after="120"/>
        <w:jc w:val="both"/>
        <w:rPr>
          <w:rFonts w:cs="Arial"/>
          <w:szCs w:val="22"/>
        </w:rPr>
      </w:pPr>
      <w:r w:rsidRPr="002B720B">
        <w:rPr>
          <w:rFonts w:eastAsia="Calibri" w:cs="Arial"/>
          <w:szCs w:val="22"/>
          <w:lang w:eastAsia="en-US"/>
        </w:rPr>
        <w:t xml:space="preserve">Da die Energiesysteme und -märkte </w:t>
      </w:r>
      <w:r>
        <w:rPr>
          <w:rFonts w:eastAsia="Calibri" w:cs="Arial"/>
          <w:szCs w:val="22"/>
          <w:lang w:eastAsia="en-US"/>
        </w:rPr>
        <w:t>im</w:t>
      </w:r>
      <w:r w:rsidR="002764F3">
        <w:rPr>
          <w:rFonts w:eastAsia="Calibri" w:cs="Arial"/>
          <w:szCs w:val="22"/>
          <w:lang w:eastAsia="en-US"/>
        </w:rPr>
        <w:t xml:space="preserve"> MENA-</w:t>
      </w:r>
      <w:r w:rsidRPr="002B720B">
        <w:rPr>
          <w:rFonts w:eastAsia="Calibri" w:cs="Arial"/>
          <w:szCs w:val="22"/>
          <w:lang w:eastAsia="en-US"/>
        </w:rPr>
        <w:t>Raum hochgradig</w:t>
      </w:r>
      <w:r w:rsidR="002764F3">
        <w:rPr>
          <w:rFonts w:eastAsia="Calibri" w:cs="Arial"/>
          <w:szCs w:val="22"/>
          <w:lang w:eastAsia="en-US"/>
        </w:rPr>
        <w:t xml:space="preserve"> nationalstaatlich organisiert und politisch gesteuert</w:t>
      </w:r>
      <w:r w:rsidRPr="002B720B">
        <w:rPr>
          <w:rFonts w:eastAsia="Calibri" w:cs="Arial"/>
          <w:szCs w:val="22"/>
          <w:lang w:eastAsia="en-US"/>
        </w:rPr>
        <w:t xml:space="preserve"> sind und nur </w:t>
      </w:r>
      <w:r>
        <w:rPr>
          <w:rFonts w:eastAsia="Calibri" w:cs="Arial"/>
          <w:szCs w:val="22"/>
          <w:lang w:eastAsia="en-US"/>
        </w:rPr>
        <w:t xml:space="preserve">sehr wenig </w:t>
      </w:r>
      <w:r w:rsidRPr="002B720B">
        <w:rPr>
          <w:rFonts w:eastAsia="Calibri" w:cs="Arial"/>
          <w:szCs w:val="22"/>
          <w:lang w:eastAsia="en-US"/>
        </w:rPr>
        <w:t>horizontal</w:t>
      </w:r>
      <w:r>
        <w:rPr>
          <w:rFonts w:eastAsia="Calibri" w:cs="Arial"/>
          <w:szCs w:val="22"/>
          <w:lang w:eastAsia="en-US"/>
        </w:rPr>
        <w:t xml:space="preserve"> v</w:t>
      </w:r>
      <w:r w:rsidRPr="002B720B">
        <w:rPr>
          <w:rFonts w:eastAsia="Calibri" w:cs="Arial"/>
          <w:szCs w:val="22"/>
          <w:lang w:eastAsia="en-US"/>
        </w:rPr>
        <w:t>ernetz</w:t>
      </w:r>
      <w:r>
        <w:rPr>
          <w:rFonts w:eastAsia="Calibri" w:cs="Arial"/>
          <w:szCs w:val="22"/>
          <w:lang w:eastAsia="en-US"/>
        </w:rPr>
        <w:t>t sind</w:t>
      </w:r>
      <w:r w:rsidRPr="002B720B">
        <w:rPr>
          <w:rFonts w:eastAsia="Calibri" w:cs="Arial"/>
          <w:szCs w:val="22"/>
          <w:lang w:eastAsia="en-US"/>
        </w:rPr>
        <w:t>, arbeitet das Vorh</w:t>
      </w:r>
      <w:r w:rsidRPr="002B720B">
        <w:rPr>
          <w:rFonts w:eastAsia="Calibri" w:cs="Arial"/>
          <w:szCs w:val="22"/>
          <w:lang w:eastAsia="en-US"/>
        </w:rPr>
        <w:t>a</w:t>
      </w:r>
      <w:r w:rsidRPr="002B720B">
        <w:rPr>
          <w:rFonts w:eastAsia="Calibri" w:cs="Arial"/>
          <w:szCs w:val="22"/>
          <w:lang w:eastAsia="en-US"/>
        </w:rPr>
        <w:t xml:space="preserve">ben in diesem Bereich in erster Linie auf nationaler Ebene. </w:t>
      </w:r>
      <w:r>
        <w:rPr>
          <w:rFonts w:eastAsia="Calibri" w:cs="Arial"/>
          <w:szCs w:val="22"/>
          <w:lang w:eastAsia="en-US"/>
        </w:rPr>
        <w:t xml:space="preserve">Dabei </w:t>
      </w:r>
      <w:r w:rsidRPr="002B720B">
        <w:rPr>
          <w:rFonts w:eastAsia="Calibri" w:cs="Arial"/>
          <w:szCs w:val="22"/>
          <w:lang w:eastAsia="en-US"/>
        </w:rPr>
        <w:t xml:space="preserve">setzt </w:t>
      </w:r>
      <w:r>
        <w:rPr>
          <w:rFonts w:eastAsia="Calibri" w:cs="Arial"/>
          <w:szCs w:val="22"/>
          <w:lang w:eastAsia="en-US"/>
        </w:rPr>
        <w:t>e</w:t>
      </w:r>
      <w:r w:rsidRPr="002B720B">
        <w:rPr>
          <w:rFonts w:eastAsia="Calibri" w:cs="Arial"/>
          <w:szCs w:val="22"/>
          <w:lang w:eastAsia="en-US"/>
        </w:rPr>
        <w:t>s in Marokko, Tun</w:t>
      </w:r>
      <w:r w:rsidRPr="002B720B">
        <w:rPr>
          <w:rFonts w:eastAsia="Calibri" w:cs="Arial"/>
          <w:szCs w:val="22"/>
          <w:lang w:eastAsia="en-US"/>
        </w:rPr>
        <w:t>e</w:t>
      </w:r>
      <w:r w:rsidRPr="002B720B">
        <w:rPr>
          <w:rFonts w:eastAsia="Calibri" w:cs="Arial"/>
          <w:szCs w:val="22"/>
          <w:lang w:eastAsia="en-US"/>
        </w:rPr>
        <w:t xml:space="preserve">sien und Ägypten </w:t>
      </w:r>
      <w:r w:rsidRPr="002B720B">
        <w:rPr>
          <w:rFonts w:cs="Arial"/>
          <w:szCs w:val="22"/>
        </w:rPr>
        <w:t>Maßnahmen zur Identifizierung und Förderung spezifischer, beschäft</w:t>
      </w:r>
      <w:r w:rsidRPr="002B720B">
        <w:rPr>
          <w:rFonts w:cs="Arial"/>
          <w:szCs w:val="22"/>
        </w:rPr>
        <w:t>i</w:t>
      </w:r>
      <w:r w:rsidRPr="002B720B">
        <w:rPr>
          <w:rFonts w:cs="Arial"/>
          <w:szCs w:val="22"/>
        </w:rPr>
        <w:t>gungsintensiver Markt- und Technologiesegmente für RE/EE um. Der Schwerpunkt liegt auf RE/EE im Bau</w:t>
      </w:r>
      <w:r>
        <w:rPr>
          <w:rFonts w:cs="Arial"/>
          <w:szCs w:val="22"/>
        </w:rPr>
        <w:t>-</w:t>
      </w:r>
      <w:r w:rsidRPr="002B720B">
        <w:rPr>
          <w:rFonts w:cs="Arial"/>
          <w:szCs w:val="22"/>
        </w:rPr>
        <w:t>, Industrie</w:t>
      </w:r>
      <w:r>
        <w:rPr>
          <w:rFonts w:cs="Arial"/>
          <w:szCs w:val="22"/>
        </w:rPr>
        <w:t>- und Agrarsektor sowie auf Kommunalebene</w:t>
      </w:r>
      <w:r w:rsidRPr="002B720B">
        <w:rPr>
          <w:rFonts w:cs="Arial"/>
          <w:szCs w:val="22"/>
        </w:rPr>
        <w:t>. Hierbei tauschen sich die Länderteams direkt aus und unterstützen sich gegenseitig. Die Ergebnisse werden in den Regionaldi</w:t>
      </w:r>
      <w:r>
        <w:rPr>
          <w:rFonts w:cs="Arial"/>
          <w:szCs w:val="22"/>
        </w:rPr>
        <w:t xml:space="preserve">alog eingespeist und damit </w:t>
      </w:r>
      <w:r w:rsidRPr="002B720B">
        <w:rPr>
          <w:rFonts w:cs="Arial"/>
          <w:szCs w:val="22"/>
        </w:rPr>
        <w:t xml:space="preserve">für weitere Zielgruppen </w:t>
      </w:r>
      <w:r>
        <w:rPr>
          <w:rFonts w:cs="Arial"/>
          <w:szCs w:val="22"/>
        </w:rPr>
        <w:t xml:space="preserve">verfügbar </w:t>
      </w:r>
      <w:r w:rsidRPr="002B720B">
        <w:rPr>
          <w:rFonts w:cs="Arial"/>
          <w:szCs w:val="22"/>
        </w:rPr>
        <w:t>gemacht.</w:t>
      </w:r>
    </w:p>
    <w:p w:rsidR="009C07B4" w:rsidRPr="002B720B" w:rsidRDefault="00C93429" w:rsidP="0048329F">
      <w:pPr>
        <w:spacing w:after="120"/>
        <w:jc w:val="both"/>
        <w:rPr>
          <w:rFonts w:eastAsia="Calibri"/>
        </w:rPr>
      </w:pPr>
      <w:r>
        <w:rPr>
          <w:rFonts w:eastAsia="Calibri" w:cs="Arial"/>
          <w:szCs w:val="22"/>
          <w:lang w:eastAsia="en-US"/>
        </w:rPr>
        <w:t xml:space="preserve">In </w:t>
      </w:r>
      <w:r w:rsidRPr="00BB00B2">
        <w:rPr>
          <w:rFonts w:eastAsia="Calibri" w:cs="Arial"/>
          <w:b/>
          <w:szCs w:val="22"/>
          <w:lang w:eastAsia="en-US"/>
        </w:rPr>
        <w:t>Marokko</w:t>
      </w:r>
      <w:r>
        <w:rPr>
          <w:rFonts w:eastAsia="Calibri" w:cs="Arial"/>
          <w:szCs w:val="22"/>
          <w:lang w:eastAsia="en-US"/>
        </w:rPr>
        <w:t xml:space="preserve"> </w:t>
      </w:r>
      <w:r w:rsidRPr="002B720B">
        <w:rPr>
          <w:rFonts w:eastAsia="Calibri" w:cs="Arial"/>
          <w:szCs w:val="22"/>
          <w:lang w:eastAsia="en-US"/>
        </w:rPr>
        <w:t xml:space="preserve">werden </w:t>
      </w:r>
      <w:r>
        <w:rPr>
          <w:rFonts w:eastAsia="Calibri" w:cs="Arial"/>
          <w:szCs w:val="22"/>
          <w:lang w:eastAsia="en-US"/>
        </w:rPr>
        <w:t>RE-seitig</w:t>
      </w:r>
      <w:r w:rsidRPr="002B720B">
        <w:rPr>
          <w:rFonts w:eastAsia="Calibri" w:cs="Arial"/>
          <w:szCs w:val="22"/>
          <w:lang w:eastAsia="en-US"/>
        </w:rPr>
        <w:t xml:space="preserve">die </w:t>
      </w:r>
      <w:r w:rsidRPr="00DD3EE4">
        <w:rPr>
          <w:rFonts w:eastAsia="Calibri" w:cs="Arial"/>
          <w:szCs w:val="22"/>
          <w:lang w:eastAsia="en-US"/>
        </w:rPr>
        <w:t>möglichen sozio-ökonomischen Folgen einer Öffnung des Niederspannungsnetzes in einer Pilotstudie untersucht (in Zusammenarbeit mit dem MEMEE und</w:t>
      </w:r>
      <w:r w:rsidR="00BD7D4A" w:rsidRPr="00DD3EE4">
        <w:rPr>
          <w:rFonts w:eastAsia="Calibri" w:cs="Arial"/>
          <w:szCs w:val="22"/>
          <w:lang w:eastAsia="en-US"/>
        </w:rPr>
        <w:t xml:space="preserve"> </w:t>
      </w:r>
      <w:r w:rsidR="004F406F" w:rsidRPr="00DD3EE4">
        <w:rPr>
          <w:rFonts w:eastAsia="Calibri" w:cs="Arial"/>
          <w:szCs w:val="22"/>
          <w:lang w:eastAsia="en-US"/>
        </w:rPr>
        <w:t xml:space="preserve">dem TZ-Regionalvorhaben </w:t>
      </w:r>
      <w:r w:rsidRPr="00DD3EE4">
        <w:rPr>
          <w:rFonts w:eastAsia="Calibri" w:cs="Arial"/>
          <w:szCs w:val="22"/>
          <w:lang w:eastAsia="en-US"/>
        </w:rPr>
        <w:t xml:space="preserve"> PS</w:t>
      </w:r>
      <w:r w:rsidR="00A52050">
        <w:rPr>
          <w:rFonts w:eastAsia="Calibri" w:cs="Arial"/>
          <w:szCs w:val="22"/>
          <w:lang w:eastAsia="en-US"/>
        </w:rPr>
        <w:t>Med</w:t>
      </w:r>
      <w:r w:rsidR="002764F3">
        <w:rPr>
          <w:rFonts w:eastAsia="Calibri" w:cs="Arial"/>
          <w:szCs w:val="22"/>
          <w:lang w:eastAsia="en-US"/>
        </w:rPr>
        <w:t>)</w:t>
      </w:r>
      <w:r w:rsidRPr="00DD3EE4">
        <w:rPr>
          <w:rFonts w:eastAsia="Calibri" w:cs="Arial"/>
          <w:szCs w:val="22"/>
          <w:lang w:eastAsia="en-US"/>
        </w:rPr>
        <w:t>. Ziel ist, die immer noch starken Widerstände (v.a. seitens der diversen Netzbetreiber) einhegen zu helfen, indem die positiven</w:t>
      </w:r>
      <w:r w:rsidRPr="002B720B">
        <w:rPr>
          <w:rFonts w:eastAsia="Calibri" w:cs="Arial"/>
          <w:szCs w:val="22"/>
          <w:lang w:eastAsia="en-US"/>
        </w:rPr>
        <w:t xml:space="preserve"> makro-ökonomischen und sozial- bzw. arbeitspolitischen Effekte in Rechnung gestellt und in die Diskussion eingespeist werden. Gleichzeitig sollen lokale Wertschöpfungspotentiale</w:t>
      </w:r>
      <w:r>
        <w:rPr>
          <w:rFonts w:eastAsia="Calibri" w:cs="Arial"/>
          <w:szCs w:val="22"/>
          <w:lang w:eastAsia="en-US"/>
        </w:rPr>
        <w:t xml:space="preserve"> und</w:t>
      </w:r>
      <w:r w:rsidRPr="002B720B">
        <w:rPr>
          <w:rFonts w:eastAsia="Calibri" w:cs="Arial"/>
          <w:szCs w:val="22"/>
          <w:lang w:eastAsia="en-US"/>
        </w:rPr>
        <w:t xml:space="preserve"> Qualifizierungsbedarfe </w:t>
      </w:r>
      <w:r>
        <w:rPr>
          <w:rFonts w:eastAsia="Calibri" w:cs="Arial"/>
          <w:szCs w:val="22"/>
          <w:lang w:eastAsia="en-US"/>
        </w:rPr>
        <w:t xml:space="preserve">präzise </w:t>
      </w:r>
      <w:r w:rsidRPr="002B720B">
        <w:rPr>
          <w:rFonts w:eastAsia="Calibri" w:cs="Arial"/>
          <w:szCs w:val="22"/>
          <w:lang w:eastAsia="en-US"/>
        </w:rPr>
        <w:t>erfasst</w:t>
      </w:r>
      <w:r>
        <w:rPr>
          <w:rFonts w:eastAsia="Calibri" w:cs="Arial"/>
          <w:szCs w:val="22"/>
          <w:lang w:eastAsia="en-US"/>
        </w:rPr>
        <w:t xml:space="preserve"> und für die Politik- und Strategieentwicklung </w:t>
      </w:r>
      <w:r w:rsidRPr="002B720B">
        <w:rPr>
          <w:rFonts w:cs="Arial"/>
          <w:szCs w:val="22"/>
        </w:rPr>
        <w:t xml:space="preserve">nutzbar </w:t>
      </w:r>
      <w:r>
        <w:rPr>
          <w:rFonts w:cs="Arial"/>
          <w:szCs w:val="22"/>
        </w:rPr>
        <w:t xml:space="preserve">gemacht </w:t>
      </w:r>
      <w:r w:rsidRPr="002B720B">
        <w:rPr>
          <w:rFonts w:eastAsia="Calibri" w:cs="Arial"/>
          <w:szCs w:val="22"/>
          <w:lang w:eastAsia="en-US"/>
        </w:rPr>
        <w:t>werden.</w:t>
      </w:r>
    </w:p>
    <w:p w:rsidR="009C07B4" w:rsidRPr="002B720B" w:rsidRDefault="00C93429" w:rsidP="009C07B4">
      <w:pPr>
        <w:spacing w:after="120"/>
        <w:jc w:val="both"/>
        <w:rPr>
          <w:rFonts w:eastAsia="Calibri" w:cs="Arial"/>
          <w:szCs w:val="22"/>
          <w:lang w:eastAsia="en-US"/>
        </w:rPr>
      </w:pPr>
      <w:r w:rsidRPr="002B720B">
        <w:rPr>
          <w:rFonts w:eastAsia="Calibri" w:cs="Arial"/>
          <w:szCs w:val="22"/>
          <w:lang w:eastAsia="en-US"/>
        </w:rPr>
        <w:t xml:space="preserve">EE-seitig </w:t>
      </w:r>
      <w:r w:rsidR="00C0658A">
        <w:rPr>
          <w:rFonts w:eastAsia="Calibri" w:cs="Arial"/>
          <w:szCs w:val="22"/>
          <w:lang w:eastAsia="en-US"/>
        </w:rPr>
        <w:t>wurde</w:t>
      </w:r>
      <w:r w:rsidR="00C0658A" w:rsidRPr="002B720B">
        <w:rPr>
          <w:rFonts w:eastAsia="Calibri" w:cs="Arial"/>
          <w:szCs w:val="22"/>
          <w:lang w:eastAsia="en-US"/>
        </w:rPr>
        <w:t xml:space="preserve"> </w:t>
      </w:r>
      <w:r w:rsidRPr="002B720B">
        <w:rPr>
          <w:rFonts w:eastAsia="Calibri" w:cs="Arial"/>
          <w:szCs w:val="22"/>
          <w:lang w:eastAsia="en-US"/>
        </w:rPr>
        <w:t>in einer Pilotmaßnahme  die Lederindustrie der Region Fes bei der Verbe</w:t>
      </w:r>
      <w:r w:rsidRPr="002B720B">
        <w:rPr>
          <w:rFonts w:eastAsia="Calibri" w:cs="Arial"/>
          <w:szCs w:val="22"/>
          <w:lang w:eastAsia="en-US"/>
        </w:rPr>
        <w:t>s</w:t>
      </w:r>
      <w:r w:rsidRPr="002B720B">
        <w:rPr>
          <w:rFonts w:eastAsia="Calibri" w:cs="Arial"/>
          <w:szCs w:val="22"/>
          <w:lang w:eastAsia="en-US"/>
        </w:rPr>
        <w:t>serung ihr</w:t>
      </w:r>
      <w:r w:rsidRPr="002B720B">
        <w:rPr>
          <w:color w:val="000000"/>
          <w:lang w:eastAsia="fr-FR"/>
        </w:rPr>
        <w:t xml:space="preserve">er Energiebilanz unterstützt. Zielgruppe </w:t>
      </w:r>
      <w:r w:rsidR="00C0658A">
        <w:rPr>
          <w:color w:val="000000"/>
          <w:lang w:eastAsia="fr-FR"/>
        </w:rPr>
        <w:t>waren</w:t>
      </w:r>
      <w:r w:rsidR="00C0658A" w:rsidRPr="002B720B">
        <w:rPr>
          <w:color w:val="000000"/>
          <w:lang w:eastAsia="fr-FR"/>
        </w:rPr>
        <w:t xml:space="preserve"> </w:t>
      </w:r>
      <w:r w:rsidRPr="002B720B">
        <w:rPr>
          <w:color w:val="000000"/>
          <w:lang w:eastAsia="fr-FR"/>
        </w:rPr>
        <w:t>KMU, die einen Teil ihrer Produkt</w:t>
      </w:r>
      <w:r w:rsidRPr="002B720B">
        <w:rPr>
          <w:color w:val="000000"/>
          <w:lang w:eastAsia="fr-FR"/>
        </w:rPr>
        <w:t>i</w:t>
      </w:r>
      <w:r w:rsidRPr="002B720B">
        <w:rPr>
          <w:color w:val="000000"/>
          <w:lang w:eastAsia="fr-FR"/>
        </w:rPr>
        <w:t>on exportieren und damit von steigenden Kosten infolge eines ineffizienten Energieeinsatzes betroffen sind. Nach Durchführung weiterer, vertiefter Audits und Analysen wurden die E</w:t>
      </w:r>
      <w:r w:rsidRPr="002B720B">
        <w:rPr>
          <w:color w:val="000000"/>
          <w:lang w:eastAsia="fr-FR"/>
        </w:rPr>
        <w:t>r</w:t>
      </w:r>
      <w:r w:rsidRPr="002B720B">
        <w:rPr>
          <w:color w:val="000000"/>
          <w:lang w:eastAsia="fr-FR"/>
        </w:rPr>
        <w:t>gebnisse im Rahmen einer Sektoranalyse verschriftlicht für die Fortbildung der Firmenvertr</w:t>
      </w:r>
      <w:r w:rsidRPr="002B720B">
        <w:rPr>
          <w:color w:val="000000"/>
          <w:lang w:eastAsia="fr-FR"/>
        </w:rPr>
        <w:t>e</w:t>
      </w:r>
      <w:r w:rsidRPr="002B720B">
        <w:rPr>
          <w:color w:val="000000"/>
          <w:lang w:eastAsia="fr-FR"/>
        </w:rPr>
        <w:t>ter verwendet. Diese Befunde bildeten auch die Grundlage für die Entwicklung eines Han</w:t>
      </w:r>
      <w:r w:rsidRPr="002B720B">
        <w:rPr>
          <w:color w:val="000000"/>
          <w:lang w:eastAsia="fr-FR"/>
        </w:rPr>
        <w:t>d</w:t>
      </w:r>
      <w:r w:rsidRPr="002B720B">
        <w:rPr>
          <w:color w:val="000000"/>
          <w:lang w:eastAsia="fr-FR"/>
        </w:rPr>
        <w:t>buchs zum Thema Energieeffizienz in der Industrie, das vorliegt und online zugänglich ist. Dieses Handbuch wird aktuell ins Englische übersetzt und damit auch für Schulungen in a</w:t>
      </w:r>
      <w:r w:rsidRPr="002B720B">
        <w:rPr>
          <w:color w:val="000000"/>
          <w:lang w:eastAsia="fr-FR"/>
        </w:rPr>
        <w:t>n</w:t>
      </w:r>
      <w:r w:rsidRPr="002B720B">
        <w:rPr>
          <w:color w:val="000000"/>
          <w:lang w:eastAsia="fr-FR"/>
        </w:rPr>
        <w:t xml:space="preserve">deren </w:t>
      </w:r>
      <w:r>
        <w:rPr>
          <w:color w:val="000000"/>
          <w:lang w:eastAsia="fr-FR"/>
        </w:rPr>
        <w:t>L</w:t>
      </w:r>
      <w:r w:rsidRPr="002B720B">
        <w:rPr>
          <w:color w:val="000000"/>
          <w:lang w:eastAsia="fr-FR"/>
        </w:rPr>
        <w:t xml:space="preserve">ändern nutzbar gemacht (s.u. Indikator 3). Die Umsetzung der Befunde </w:t>
      </w:r>
      <w:r>
        <w:rPr>
          <w:color w:val="000000"/>
          <w:lang w:eastAsia="fr-FR"/>
        </w:rPr>
        <w:t xml:space="preserve">der Audits </w:t>
      </w:r>
      <w:r w:rsidRPr="002B720B">
        <w:rPr>
          <w:color w:val="000000"/>
          <w:lang w:eastAsia="fr-FR"/>
        </w:rPr>
        <w:t>wird aktuell vorbereitet. Nach Abschluss und Auswertung sollen Ansatz bzw. Ergebnisse über den Sektorverband FEDIC auf nationaler Ebene promotet und ggf. in anderen Lande</w:t>
      </w:r>
      <w:r w:rsidRPr="002B720B">
        <w:rPr>
          <w:color w:val="000000"/>
          <w:lang w:eastAsia="fr-FR"/>
        </w:rPr>
        <w:t>s</w:t>
      </w:r>
      <w:r w:rsidRPr="002B720B">
        <w:rPr>
          <w:color w:val="000000"/>
          <w:lang w:eastAsia="fr-FR"/>
        </w:rPr>
        <w:t>teilen repliziert werden</w:t>
      </w:r>
      <w:r w:rsidRPr="002B720B">
        <w:rPr>
          <w:rFonts w:eastAsia="Calibri" w:cs="Arial"/>
          <w:szCs w:val="22"/>
          <w:lang w:eastAsia="en-US"/>
        </w:rPr>
        <w:t>.</w:t>
      </w:r>
    </w:p>
    <w:p w:rsidR="009C07B4" w:rsidRPr="002B720B" w:rsidRDefault="00C93429">
      <w:pPr>
        <w:spacing w:after="120"/>
        <w:jc w:val="both"/>
        <w:rPr>
          <w:rFonts w:eastAsia="Calibri" w:cs="Arial"/>
          <w:szCs w:val="22"/>
          <w:lang w:eastAsia="en-US"/>
        </w:rPr>
      </w:pPr>
      <w:r w:rsidRPr="002B720B">
        <w:rPr>
          <w:rFonts w:eastAsia="Calibri" w:cs="Arial"/>
          <w:szCs w:val="22"/>
          <w:lang w:eastAsia="en-US"/>
        </w:rPr>
        <w:t xml:space="preserve">In einer weiteren Pilotmaßnahme wird die marokkanische Bauindustrie dabei unterstützt, über </w:t>
      </w:r>
      <w:r>
        <w:rPr>
          <w:rFonts w:eastAsia="Calibri" w:cs="Arial"/>
          <w:szCs w:val="22"/>
          <w:lang w:eastAsia="en-US"/>
        </w:rPr>
        <w:t>EE-</w:t>
      </w:r>
      <w:r w:rsidRPr="002B720B">
        <w:rPr>
          <w:rFonts w:eastAsia="Calibri" w:cs="Arial"/>
          <w:szCs w:val="22"/>
          <w:lang w:eastAsia="en-US"/>
        </w:rPr>
        <w:t xml:space="preserve">Maßnahmen ihre Betriebsbilanz ebenso zu verbessern wie ihre Umweltbilanz. Die Herstellung von Baumaterialien ist überall einer der </w:t>
      </w:r>
      <w:r>
        <w:rPr>
          <w:rFonts w:eastAsia="Calibri" w:cs="Arial"/>
          <w:szCs w:val="22"/>
          <w:lang w:eastAsia="en-US"/>
        </w:rPr>
        <w:t>Haupt</w:t>
      </w:r>
      <w:r w:rsidRPr="002B720B">
        <w:rPr>
          <w:rFonts w:eastAsia="Calibri" w:cs="Arial"/>
          <w:szCs w:val="22"/>
          <w:lang w:eastAsia="en-US"/>
        </w:rPr>
        <w:t>verbraucher</w:t>
      </w:r>
      <w:r>
        <w:rPr>
          <w:rFonts w:eastAsia="Calibri" w:cs="Arial"/>
          <w:szCs w:val="22"/>
          <w:lang w:eastAsia="en-US"/>
        </w:rPr>
        <w:t xml:space="preserve"> von Energie</w:t>
      </w:r>
      <w:r w:rsidRPr="002B720B">
        <w:rPr>
          <w:rFonts w:eastAsia="Calibri" w:cs="Arial"/>
          <w:szCs w:val="22"/>
          <w:lang w:eastAsia="en-US"/>
        </w:rPr>
        <w:t>, und dies umso mehr in Ländern mit einer stark wachsenden Bevölkerung und einer expansiven Ba</w:t>
      </w:r>
      <w:r w:rsidRPr="002B720B">
        <w:rPr>
          <w:rFonts w:eastAsia="Calibri" w:cs="Arial"/>
          <w:szCs w:val="22"/>
          <w:lang w:eastAsia="en-US"/>
        </w:rPr>
        <w:t>u</w:t>
      </w:r>
      <w:r w:rsidRPr="002B720B">
        <w:rPr>
          <w:rFonts w:eastAsia="Calibri" w:cs="Arial"/>
          <w:szCs w:val="22"/>
          <w:lang w:eastAsia="en-US"/>
        </w:rPr>
        <w:t xml:space="preserve">tätigkeit wie </w:t>
      </w:r>
      <w:r>
        <w:rPr>
          <w:rFonts w:eastAsia="Calibri" w:cs="Arial"/>
          <w:szCs w:val="22"/>
          <w:lang w:eastAsia="en-US"/>
        </w:rPr>
        <w:t xml:space="preserve">in </w:t>
      </w:r>
      <w:r w:rsidRPr="002B720B">
        <w:rPr>
          <w:rFonts w:eastAsia="Calibri" w:cs="Arial"/>
          <w:szCs w:val="22"/>
          <w:lang w:eastAsia="en-US"/>
        </w:rPr>
        <w:t xml:space="preserve">MENA. Hauptpartner ist der Cluster EMC, der die großen </w:t>
      </w:r>
      <w:r w:rsidRPr="00DD3EE4">
        <w:rPr>
          <w:rFonts w:eastAsia="Calibri" w:cs="Arial"/>
          <w:szCs w:val="22"/>
          <w:lang w:eastAsia="en-US"/>
        </w:rPr>
        <w:t xml:space="preserve">Baustoffhersteller des Landes vereint. Auftakt war eine mehrtägige Fortbildung im November 2015 zum Thema Energieeffizienz in der Bauindustrie, die in einer </w:t>
      </w:r>
      <w:r w:rsidR="00A52050">
        <w:rPr>
          <w:rFonts w:eastAsia="Calibri" w:cs="Arial"/>
          <w:szCs w:val="22"/>
          <w:lang w:eastAsia="en-US"/>
        </w:rPr>
        <w:t>K</w:t>
      </w:r>
      <w:r w:rsidR="00A52050" w:rsidRPr="00DD3EE4">
        <w:rPr>
          <w:rFonts w:eastAsia="Calibri" w:cs="Arial"/>
          <w:szCs w:val="22"/>
          <w:lang w:eastAsia="en-US"/>
        </w:rPr>
        <w:t xml:space="preserve">ooperation </w:t>
      </w:r>
      <w:r w:rsidRPr="00DD3EE4">
        <w:rPr>
          <w:rFonts w:eastAsia="Calibri" w:cs="Arial"/>
          <w:szCs w:val="22"/>
          <w:lang w:eastAsia="en-US"/>
        </w:rPr>
        <w:t>mit</w:t>
      </w:r>
      <w:r w:rsidR="00BD7D4A" w:rsidRPr="00DD3EE4">
        <w:t xml:space="preserve"> </w:t>
      </w:r>
      <w:r w:rsidR="00BD7D4A" w:rsidRPr="00DD3EE4">
        <w:rPr>
          <w:rFonts w:eastAsia="Calibri" w:cs="Arial"/>
          <w:szCs w:val="22"/>
          <w:lang w:eastAsia="en-US"/>
        </w:rPr>
        <w:t>dem TZ-Vorhaben</w:t>
      </w:r>
      <w:r w:rsidR="0048329F" w:rsidRPr="00DD3EE4">
        <w:t xml:space="preserve"> </w:t>
      </w:r>
      <w:r w:rsidR="0048329F" w:rsidRPr="00DD3EE4">
        <w:rPr>
          <w:rFonts w:eastAsia="Calibri" w:cs="Arial"/>
          <w:szCs w:val="22"/>
          <w:lang w:eastAsia="en-US"/>
        </w:rPr>
        <w:t>DKTI</w:t>
      </w:r>
      <w:r w:rsidR="002764F3">
        <w:rPr>
          <w:rFonts w:eastAsia="Calibri" w:cs="Arial"/>
          <w:szCs w:val="22"/>
          <w:lang w:eastAsia="en-US"/>
        </w:rPr>
        <w:t xml:space="preserve"> I</w:t>
      </w:r>
      <w:r w:rsidR="0048329F" w:rsidRPr="00DD3EE4">
        <w:rPr>
          <w:rFonts w:eastAsia="Calibri" w:cs="Arial"/>
          <w:szCs w:val="22"/>
          <w:lang w:eastAsia="en-US"/>
        </w:rPr>
        <w:t xml:space="preserve">, </w:t>
      </w:r>
      <w:r w:rsidR="002764F3">
        <w:rPr>
          <w:rFonts w:eastAsia="Calibri" w:cs="Arial"/>
          <w:szCs w:val="22"/>
          <w:lang w:eastAsia="en-US"/>
        </w:rPr>
        <w:t>„</w:t>
      </w:r>
      <w:r w:rsidR="003E28B7" w:rsidRPr="00DD3EE4">
        <w:rPr>
          <w:rFonts w:eastAsia="Calibri" w:cs="Arial"/>
          <w:szCs w:val="22"/>
          <w:lang w:eastAsia="en-US"/>
        </w:rPr>
        <w:t>Marokkanischer Solarplan</w:t>
      </w:r>
      <w:r w:rsidR="002764F3">
        <w:rPr>
          <w:rFonts w:eastAsia="Calibri" w:cs="Arial"/>
          <w:szCs w:val="22"/>
          <w:lang w:eastAsia="en-US"/>
        </w:rPr>
        <w:t>“</w:t>
      </w:r>
      <w:r w:rsidR="003E28B7" w:rsidRPr="00DD3EE4">
        <w:rPr>
          <w:rFonts w:eastAsia="Calibri" w:cs="Arial"/>
          <w:szCs w:val="22"/>
          <w:lang w:eastAsia="en-US"/>
        </w:rPr>
        <w:t xml:space="preserve"> (PN: </w:t>
      </w:r>
      <w:r w:rsidR="00A52050">
        <w:rPr>
          <w:rFonts w:eastAsia="Calibri" w:cs="Arial"/>
          <w:szCs w:val="22"/>
          <w:lang w:eastAsia="en-US"/>
        </w:rPr>
        <w:t>20</w:t>
      </w:r>
      <w:r w:rsidR="003E28B7" w:rsidRPr="00DD3EE4">
        <w:rPr>
          <w:rFonts w:eastAsia="Calibri" w:cs="Arial"/>
          <w:szCs w:val="22"/>
          <w:lang w:eastAsia="en-US"/>
        </w:rPr>
        <w:t xml:space="preserve">12.9039.4) </w:t>
      </w:r>
      <w:r w:rsidRPr="00DD3EE4">
        <w:rPr>
          <w:rFonts w:eastAsia="Calibri" w:cs="Arial"/>
          <w:szCs w:val="22"/>
          <w:lang w:eastAsia="en-US"/>
        </w:rPr>
        <w:t>durchgeführt wurde (s.a. Indikator 3). Auf dieser Grundlage wurde mit dem Cluster EMC ein umfassendes Arbeitsprogramm für die nächsten 12 Monate</w:t>
      </w:r>
      <w:r w:rsidRPr="002B720B">
        <w:rPr>
          <w:rFonts w:eastAsia="Calibri" w:cs="Arial"/>
          <w:szCs w:val="22"/>
          <w:lang w:eastAsia="en-US"/>
        </w:rPr>
        <w:t xml:space="preserve"> vereinbart. </w:t>
      </w:r>
      <w:r w:rsidR="006129A7" w:rsidRPr="002B720B">
        <w:rPr>
          <w:rFonts w:eastAsia="Calibri" w:cs="Arial"/>
          <w:szCs w:val="22"/>
          <w:lang w:eastAsia="en-US"/>
        </w:rPr>
        <w:t>Dieses befindet sich aktuell in Vorbereitung und umfasst n</w:t>
      </w:r>
      <w:r w:rsidR="006129A7" w:rsidRPr="002B720B">
        <w:rPr>
          <w:rFonts w:eastAsia="Calibri" w:cs="Arial"/>
          <w:szCs w:val="22"/>
          <w:lang w:eastAsia="en-US"/>
        </w:rPr>
        <w:t>e</w:t>
      </w:r>
      <w:r w:rsidR="006129A7" w:rsidRPr="002B720B">
        <w:rPr>
          <w:rFonts w:eastAsia="Calibri" w:cs="Arial"/>
          <w:szCs w:val="22"/>
          <w:lang w:eastAsia="en-US"/>
        </w:rPr>
        <w:t>ben der Durchführung von Schulungen auch die Realisierung von Demonstrations- und Se</w:t>
      </w:r>
      <w:r w:rsidR="006129A7" w:rsidRPr="002B720B">
        <w:rPr>
          <w:rFonts w:eastAsia="Calibri" w:cs="Arial"/>
          <w:szCs w:val="22"/>
          <w:lang w:eastAsia="en-US"/>
        </w:rPr>
        <w:t>n</w:t>
      </w:r>
      <w:r w:rsidR="006129A7" w:rsidRPr="002B720B">
        <w:rPr>
          <w:rFonts w:eastAsia="Calibri" w:cs="Arial"/>
          <w:szCs w:val="22"/>
          <w:lang w:eastAsia="en-US"/>
        </w:rPr>
        <w:t>sibilisierungsmaßnahmen sowie die Bewerbung und Pilotier</w:t>
      </w:r>
      <w:r w:rsidR="006129A7">
        <w:rPr>
          <w:rFonts w:eastAsia="Calibri" w:cs="Arial"/>
          <w:szCs w:val="22"/>
          <w:lang w:eastAsia="en-US"/>
        </w:rPr>
        <w:t>ung von Qualitätsstandards und -</w:t>
      </w:r>
      <w:r w:rsidR="006129A7" w:rsidRPr="002B720B">
        <w:rPr>
          <w:rFonts w:eastAsia="Calibri" w:cs="Arial"/>
          <w:szCs w:val="22"/>
          <w:lang w:eastAsia="en-US"/>
        </w:rPr>
        <w:t>systemen für Branchenprodukte und Dienstleistung</w:t>
      </w:r>
      <w:r w:rsidR="006129A7">
        <w:rPr>
          <w:rFonts w:eastAsia="Calibri" w:cs="Arial"/>
          <w:szCs w:val="22"/>
          <w:lang w:eastAsia="en-US"/>
        </w:rPr>
        <w:t>en</w:t>
      </w:r>
      <w:r w:rsidR="006129A7" w:rsidRPr="002B720B">
        <w:rPr>
          <w:rFonts w:eastAsia="Calibri" w:cs="Arial"/>
          <w:szCs w:val="22"/>
          <w:lang w:eastAsia="en-US"/>
        </w:rPr>
        <w:t>.</w:t>
      </w:r>
    </w:p>
    <w:p w:rsidR="009C07B4" w:rsidRDefault="00C93429" w:rsidP="009C07B4">
      <w:pPr>
        <w:spacing w:after="120"/>
        <w:jc w:val="both"/>
        <w:rPr>
          <w:color w:val="000000"/>
          <w:lang w:eastAsia="fr-FR"/>
        </w:rPr>
      </w:pPr>
      <w:r w:rsidRPr="002B720B">
        <w:rPr>
          <w:rFonts w:eastAsia="Calibri" w:cs="Arial"/>
          <w:szCs w:val="22"/>
          <w:lang w:eastAsia="en-US"/>
        </w:rPr>
        <w:t>Die Daten</w:t>
      </w:r>
      <w:r>
        <w:rPr>
          <w:rFonts w:eastAsia="Calibri" w:cs="Arial"/>
          <w:szCs w:val="22"/>
          <w:lang w:eastAsia="en-US"/>
        </w:rPr>
        <w:t>basis</w:t>
      </w:r>
      <w:r w:rsidRPr="002B720B">
        <w:rPr>
          <w:rFonts w:eastAsia="Calibri" w:cs="Arial"/>
          <w:szCs w:val="22"/>
          <w:lang w:eastAsia="en-US"/>
        </w:rPr>
        <w:t xml:space="preserve"> für diese Maßnahmen stammt </w:t>
      </w:r>
      <w:r>
        <w:rPr>
          <w:rFonts w:eastAsia="Calibri" w:cs="Arial"/>
          <w:szCs w:val="22"/>
          <w:lang w:eastAsia="en-US"/>
        </w:rPr>
        <w:t xml:space="preserve">auch </w:t>
      </w:r>
      <w:r w:rsidRPr="002B720B">
        <w:rPr>
          <w:rFonts w:eastAsia="Calibri" w:cs="Arial"/>
          <w:szCs w:val="22"/>
          <w:lang w:eastAsia="en-US"/>
        </w:rPr>
        <w:t>aus einer Bestandsaufnahme zum Th</w:t>
      </w:r>
      <w:r w:rsidRPr="002B720B">
        <w:rPr>
          <w:rFonts w:eastAsia="Calibri" w:cs="Arial"/>
          <w:szCs w:val="22"/>
          <w:lang w:eastAsia="en-US"/>
        </w:rPr>
        <w:t>e</w:t>
      </w:r>
      <w:r w:rsidRPr="002B720B">
        <w:rPr>
          <w:rFonts w:eastAsia="Calibri" w:cs="Arial"/>
          <w:szCs w:val="22"/>
          <w:lang w:eastAsia="en-US"/>
        </w:rPr>
        <w:t xml:space="preserve">ma Beschäftigung, Wertschöpfung, Qualifizierung und makro-ökonomische Effekte durch RE/EE im marokkanischen Gebäudesektor, die das Vorhaben in Zusammenarbeit </w:t>
      </w:r>
      <w:r w:rsidR="005B061D" w:rsidRPr="005B061D">
        <w:rPr>
          <w:rFonts w:eastAsia="Calibri" w:cs="Arial"/>
          <w:szCs w:val="22"/>
          <w:lang w:eastAsia="en-US"/>
        </w:rPr>
        <w:t>mit dem TZ-Vorhaben „</w:t>
      </w:r>
      <w:r w:rsidR="00D91C26" w:rsidRPr="005B061D">
        <w:rPr>
          <w:rFonts w:eastAsia="Calibri" w:cs="Arial"/>
          <w:szCs w:val="22"/>
          <w:lang w:eastAsia="en-US"/>
        </w:rPr>
        <w:t>Beschäftigungsförderung durch Energieeffizienz und Erneuerbare Energien in Moscheen</w:t>
      </w:r>
      <w:r w:rsidR="00D91C26">
        <w:rPr>
          <w:rFonts w:eastAsia="Calibri" w:cs="Arial"/>
          <w:szCs w:val="22"/>
          <w:lang w:eastAsia="en-US"/>
        </w:rPr>
        <w:t>“</w:t>
      </w:r>
      <w:r w:rsidR="005B061D" w:rsidRPr="005B061D">
        <w:rPr>
          <w:rFonts w:eastAsia="Calibri" w:cs="Arial"/>
          <w:szCs w:val="22"/>
          <w:lang w:eastAsia="en-US"/>
        </w:rPr>
        <w:t xml:space="preserve"> (PN: </w:t>
      </w:r>
      <w:r w:rsidR="00A52050">
        <w:rPr>
          <w:rFonts w:eastAsia="Calibri" w:cs="Arial"/>
          <w:szCs w:val="22"/>
          <w:lang w:eastAsia="en-US"/>
        </w:rPr>
        <w:t>20</w:t>
      </w:r>
      <w:r w:rsidR="005B061D" w:rsidRPr="005B061D">
        <w:rPr>
          <w:rFonts w:eastAsia="Calibri" w:cs="Arial"/>
          <w:szCs w:val="22"/>
          <w:lang w:eastAsia="en-US"/>
        </w:rPr>
        <w:t xml:space="preserve">14.4109.6) </w:t>
      </w:r>
      <w:r>
        <w:rPr>
          <w:rFonts w:eastAsia="Calibri" w:cs="Arial"/>
          <w:szCs w:val="22"/>
          <w:lang w:eastAsia="en-US"/>
        </w:rPr>
        <w:t>d</w:t>
      </w:r>
      <w:r w:rsidRPr="002B720B">
        <w:rPr>
          <w:rFonts w:eastAsia="Calibri" w:cs="Arial"/>
          <w:szCs w:val="22"/>
          <w:lang w:eastAsia="en-US"/>
        </w:rPr>
        <w:t xml:space="preserve">urchführt hat. </w:t>
      </w:r>
      <w:r w:rsidRPr="002B720B">
        <w:rPr>
          <w:color w:val="000000"/>
          <w:lang w:eastAsia="fr-FR"/>
        </w:rPr>
        <w:t xml:space="preserve">Die Ergebnisse wurden </w:t>
      </w:r>
      <w:r>
        <w:rPr>
          <w:color w:val="000000"/>
          <w:lang w:eastAsia="fr-FR"/>
        </w:rPr>
        <w:t>auf</w:t>
      </w:r>
      <w:r w:rsidRPr="002B720B">
        <w:rPr>
          <w:color w:val="000000"/>
          <w:lang w:eastAsia="fr-FR"/>
        </w:rPr>
        <w:t xml:space="preserve"> mehrere</w:t>
      </w:r>
      <w:r>
        <w:rPr>
          <w:color w:val="000000"/>
          <w:lang w:eastAsia="fr-FR"/>
        </w:rPr>
        <w:t>n</w:t>
      </w:r>
      <w:r w:rsidRPr="002B720B">
        <w:rPr>
          <w:color w:val="000000"/>
          <w:lang w:eastAsia="fr-FR"/>
        </w:rPr>
        <w:t xml:space="preserve"> Stak</w:t>
      </w:r>
      <w:r w:rsidRPr="002B720B">
        <w:rPr>
          <w:color w:val="000000"/>
          <w:lang w:eastAsia="fr-FR"/>
        </w:rPr>
        <w:t>e</w:t>
      </w:r>
      <w:r w:rsidRPr="002B720B">
        <w:rPr>
          <w:color w:val="000000"/>
          <w:lang w:eastAsia="fr-FR"/>
        </w:rPr>
        <w:t>holderworkshops vorgestellt und au</w:t>
      </w:r>
      <w:r>
        <w:rPr>
          <w:color w:val="000000"/>
          <w:lang w:eastAsia="fr-FR"/>
        </w:rPr>
        <w:t>f</w:t>
      </w:r>
      <w:r w:rsidRPr="002B720B">
        <w:rPr>
          <w:color w:val="000000"/>
          <w:lang w:eastAsia="fr-FR"/>
        </w:rPr>
        <w:t xml:space="preserve"> der </w:t>
      </w:r>
      <w:r w:rsidRPr="00051A30">
        <w:rPr>
          <w:i/>
          <w:color w:val="000000"/>
          <w:lang w:eastAsia="fr-FR"/>
        </w:rPr>
        <w:t>Solaire Expo Maroc</w:t>
      </w:r>
      <w:r w:rsidRPr="002B720B">
        <w:rPr>
          <w:color w:val="000000"/>
          <w:lang w:eastAsia="fr-FR"/>
        </w:rPr>
        <w:t xml:space="preserve"> im Februar 2016 </w:t>
      </w:r>
      <w:r>
        <w:rPr>
          <w:color w:val="000000"/>
          <w:lang w:eastAsia="fr-FR"/>
        </w:rPr>
        <w:t>mit</w:t>
      </w:r>
      <w:r w:rsidRPr="002B720B">
        <w:rPr>
          <w:color w:val="000000"/>
          <w:lang w:eastAsia="fr-FR"/>
        </w:rPr>
        <w:t xml:space="preserve"> einem we</w:t>
      </w:r>
      <w:r w:rsidRPr="002B720B">
        <w:rPr>
          <w:color w:val="000000"/>
          <w:lang w:eastAsia="fr-FR"/>
        </w:rPr>
        <w:t>i</w:t>
      </w:r>
      <w:r w:rsidRPr="002B720B">
        <w:rPr>
          <w:color w:val="000000"/>
          <w:lang w:eastAsia="fr-FR"/>
        </w:rPr>
        <w:t>teren Fachpublikum</w:t>
      </w:r>
      <w:r w:rsidRPr="00EC45AA">
        <w:rPr>
          <w:color w:val="000000"/>
          <w:lang w:eastAsia="fr-FR"/>
        </w:rPr>
        <w:t xml:space="preserve"> </w:t>
      </w:r>
      <w:r w:rsidRPr="002B720B">
        <w:rPr>
          <w:color w:val="000000"/>
          <w:lang w:eastAsia="fr-FR"/>
        </w:rPr>
        <w:t>geteilt.</w:t>
      </w:r>
    </w:p>
    <w:p w:rsidR="009C07B4" w:rsidRPr="002B720B" w:rsidRDefault="00C93429" w:rsidP="009C07B4">
      <w:pPr>
        <w:spacing w:after="120"/>
        <w:jc w:val="both"/>
        <w:rPr>
          <w:rFonts w:eastAsia="Calibri" w:cs="Arial"/>
          <w:szCs w:val="22"/>
          <w:lang w:eastAsia="en-US"/>
        </w:rPr>
      </w:pPr>
      <w:r>
        <w:rPr>
          <w:color w:val="000000"/>
          <w:lang w:eastAsia="fr-FR"/>
        </w:rPr>
        <w:t xml:space="preserve">In einer jüngst vereinbarten Maßnahme wird die Stadtverwaltung Agadir über Schulungen, Coaching und Pilotprojekte </w:t>
      </w:r>
      <w:r>
        <w:rPr>
          <w:rFonts w:eastAsia="Calibri" w:cs="Arial"/>
          <w:szCs w:val="22"/>
          <w:lang w:eastAsia="en-US"/>
        </w:rPr>
        <w:t>bei der Umsetzung der neuen Wärmeschutzverordnung sowie der Nutzung von PV</w:t>
      </w:r>
      <w:r w:rsidR="00D91C26">
        <w:rPr>
          <w:rFonts w:eastAsia="Calibri" w:cs="Arial"/>
          <w:szCs w:val="22"/>
          <w:lang w:eastAsia="en-US"/>
        </w:rPr>
        <w:t>-</w:t>
      </w:r>
      <w:r>
        <w:rPr>
          <w:rFonts w:eastAsia="Calibri" w:cs="Arial"/>
          <w:szCs w:val="22"/>
          <w:lang w:eastAsia="en-US"/>
        </w:rPr>
        <w:t>Aufdachanlagen für stadteigene Verwaltungsgebäude unterstützt.</w:t>
      </w:r>
    </w:p>
    <w:p w:rsidR="009C07B4" w:rsidRPr="002B720B" w:rsidRDefault="00C93429" w:rsidP="009C07B4">
      <w:pPr>
        <w:spacing w:after="120"/>
        <w:jc w:val="both"/>
        <w:rPr>
          <w:rFonts w:eastAsia="Calibri" w:cs="Arial"/>
          <w:szCs w:val="22"/>
          <w:lang w:eastAsia="en-US"/>
        </w:rPr>
      </w:pPr>
      <w:r>
        <w:rPr>
          <w:rFonts w:eastAsia="Calibri" w:cs="Arial"/>
          <w:szCs w:val="22"/>
          <w:lang w:eastAsia="en-US"/>
        </w:rPr>
        <w:t>I</w:t>
      </w:r>
      <w:r w:rsidRPr="002B720B">
        <w:rPr>
          <w:rFonts w:eastAsia="Calibri" w:cs="Arial"/>
          <w:szCs w:val="22"/>
          <w:lang w:eastAsia="en-US"/>
        </w:rPr>
        <w:t xml:space="preserve">n </w:t>
      </w:r>
      <w:r w:rsidRPr="002B720B">
        <w:rPr>
          <w:rFonts w:eastAsia="Calibri" w:cs="Arial"/>
          <w:b/>
          <w:szCs w:val="22"/>
          <w:lang w:eastAsia="en-US"/>
        </w:rPr>
        <w:t>Tunesien</w:t>
      </w:r>
      <w:r w:rsidRPr="002B720B">
        <w:rPr>
          <w:rFonts w:eastAsia="Calibri" w:cs="Arial"/>
          <w:szCs w:val="22"/>
          <w:lang w:eastAsia="en-US"/>
        </w:rPr>
        <w:t xml:space="preserve"> arbeitet das Vorhaben RE-seitig mit Partnern und Kollegen vor Ort (ANME, STEG, DMS) an einer Beseitigung von Hürden, die gegenwärtig den Ausbau von PV behi</w:t>
      </w:r>
      <w:r w:rsidRPr="002B720B">
        <w:rPr>
          <w:rFonts w:eastAsia="Calibri" w:cs="Arial"/>
          <w:szCs w:val="22"/>
          <w:lang w:eastAsia="en-US"/>
        </w:rPr>
        <w:t>n</w:t>
      </w:r>
      <w:r w:rsidRPr="002B720B">
        <w:rPr>
          <w:rFonts w:eastAsia="Calibri" w:cs="Arial"/>
          <w:szCs w:val="22"/>
          <w:lang w:eastAsia="en-US"/>
        </w:rPr>
        <w:t xml:space="preserve">dern und den weiteren Erfolg dieses noch jungen Marktes gefährden. </w:t>
      </w:r>
      <w:r>
        <w:rPr>
          <w:rFonts w:eastAsia="Calibri" w:cs="Arial"/>
          <w:szCs w:val="22"/>
          <w:lang w:eastAsia="en-US"/>
        </w:rPr>
        <w:t>A</w:t>
      </w:r>
      <w:r w:rsidRPr="002B720B">
        <w:rPr>
          <w:rFonts w:eastAsia="Calibri" w:cs="Arial"/>
          <w:szCs w:val="22"/>
          <w:lang w:eastAsia="en-US"/>
        </w:rPr>
        <w:t>ufgrund einer Gese</w:t>
      </w:r>
      <w:r w:rsidRPr="002B720B">
        <w:rPr>
          <w:rFonts w:eastAsia="Calibri" w:cs="Arial"/>
          <w:szCs w:val="22"/>
          <w:lang w:eastAsia="en-US"/>
        </w:rPr>
        <w:t>t</w:t>
      </w:r>
      <w:r w:rsidRPr="002B720B">
        <w:rPr>
          <w:rFonts w:eastAsia="Calibri" w:cs="Arial"/>
          <w:szCs w:val="22"/>
          <w:lang w:eastAsia="en-US"/>
        </w:rPr>
        <w:t xml:space="preserve">zeslücke </w:t>
      </w:r>
      <w:r>
        <w:rPr>
          <w:rFonts w:eastAsia="Calibri" w:cs="Arial"/>
          <w:szCs w:val="22"/>
          <w:lang w:eastAsia="en-US"/>
        </w:rPr>
        <w:t xml:space="preserve">ist </w:t>
      </w:r>
      <w:r w:rsidRPr="002B720B">
        <w:rPr>
          <w:rFonts w:eastAsia="Calibri" w:cs="Arial"/>
          <w:szCs w:val="22"/>
          <w:lang w:eastAsia="en-US"/>
        </w:rPr>
        <w:t>immer noch nicht geklärt, wer letztlich für die technische Abnahme und den A</w:t>
      </w:r>
      <w:r w:rsidRPr="002B720B">
        <w:rPr>
          <w:rFonts w:eastAsia="Calibri" w:cs="Arial"/>
          <w:szCs w:val="22"/>
          <w:lang w:eastAsia="en-US"/>
        </w:rPr>
        <w:t>n</w:t>
      </w:r>
      <w:r w:rsidRPr="002B720B">
        <w:rPr>
          <w:rFonts w:eastAsia="Calibri" w:cs="Arial"/>
          <w:szCs w:val="22"/>
          <w:lang w:eastAsia="en-US"/>
        </w:rPr>
        <w:t>schluss der vielen neuen PV</w:t>
      </w:r>
      <w:r w:rsidR="00D91C26">
        <w:rPr>
          <w:rFonts w:eastAsia="Calibri" w:cs="Arial"/>
          <w:szCs w:val="22"/>
          <w:lang w:eastAsia="en-US"/>
        </w:rPr>
        <w:t>-</w:t>
      </w:r>
      <w:r w:rsidRPr="002B720B">
        <w:rPr>
          <w:rFonts w:eastAsia="Calibri" w:cs="Arial"/>
          <w:szCs w:val="22"/>
          <w:lang w:eastAsia="en-US"/>
        </w:rPr>
        <w:t xml:space="preserve">Aufdachanlagen verantwortlich ist. Bislang hatte der staatliche Energieversorger </w:t>
      </w:r>
      <w:r>
        <w:rPr>
          <w:rFonts w:eastAsia="Calibri" w:cs="Arial"/>
          <w:szCs w:val="22"/>
          <w:lang w:eastAsia="en-US"/>
        </w:rPr>
        <w:t xml:space="preserve">und Netzbetreiber </w:t>
      </w:r>
      <w:r w:rsidRPr="002B720B">
        <w:rPr>
          <w:rFonts w:eastAsia="Calibri" w:cs="Arial"/>
          <w:szCs w:val="22"/>
          <w:lang w:eastAsia="en-US"/>
        </w:rPr>
        <w:t>STEG diese Aufgabe „freiwillig“ übernommen, allerdings erweist er sich zunehmend als personell überfordert. Die Folge sind mehrmonatige Verzög</w:t>
      </w:r>
      <w:r w:rsidRPr="002B720B">
        <w:rPr>
          <w:rFonts w:eastAsia="Calibri" w:cs="Arial"/>
          <w:szCs w:val="22"/>
          <w:lang w:eastAsia="en-US"/>
        </w:rPr>
        <w:t>e</w:t>
      </w:r>
      <w:r w:rsidRPr="002B720B">
        <w:rPr>
          <w:rFonts w:eastAsia="Calibri" w:cs="Arial"/>
          <w:szCs w:val="22"/>
          <w:lang w:eastAsia="en-US"/>
        </w:rPr>
        <w:t>rungen, die eine schwere Belastung für die vielen kleinen Projektentwickler darstellen, die bei Projektbeginn einseitig in Vorleistung gehen müssen und gerade in dieser Phase mit h</w:t>
      </w:r>
      <w:r w:rsidRPr="002B720B">
        <w:rPr>
          <w:rFonts w:eastAsia="Calibri" w:cs="Arial"/>
          <w:szCs w:val="22"/>
          <w:lang w:eastAsia="en-US"/>
        </w:rPr>
        <w:t>o</w:t>
      </w:r>
      <w:r w:rsidRPr="002B720B">
        <w:rPr>
          <w:rFonts w:eastAsia="Calibri" w:cs="Arial"/>
          <w:szCs w:val="22"/>
          <w:lang w:eastAsia="en-US"/>
        </w:rPr>
        <w:t>hen Kapitalkosten konfrontiert sind. Daher besteht Einigkeit, dass diese Aufgabe fortan von privaten Anbietern (</w:t>
      </w:r>
      <w:r w:rsidRPr="00051A30">
        <w:rPr>
          <w:rFonts w:eastAsia="Calibri" w:cs="Arial"/>
          <w:i/>
          <w:szCs w:val="22"/>
          <w:lang w:eastAsia="en-US"/>
        </w:rPr>
        <w:t>Bureaux de contrôle</w:t>
      </w:r>
      <w:r w:rsidRPr="002B720B">
        <w:rPr>
          <w:rFonts w:eastAsia="Calibri" w:cs="Arial"/>
          <w:szCs w:val="22"/>
          <w:lang w:eastAsia="en-US"/>
        </w:rPr>
        <w:t xml:space="preserve">) übernommen werden soll. Da </w:t>
      </w:r>
      <w:r>
        <w:rPr>
          <w:rFonts w:eastAsia="Calibri" w:cs="Arial"/>
          <w:szCs w:val="22"/>
          <w:lang w:eastAsia="en-US"/>
        </w:rPr>
        <w:t xml:space="preserve">sie </w:t>
      </w:r>
      <w:r w:rsidRPr="002B720B">
        <w:rPr>
          <w:rFonts w:eastAsia="Calibri" w:cs="Arial"/>
          <w:szCs w:val="22"/>
          <w:lang w:eastAsia="en-US"/>
        </w:rPr>
        <w:t>ein solides (elek</w:t>
      </w:r>
      <w:r w:rsidRPr="002B720B">
        <w:rPr>
          <w:rFonts w:eastAsia="Calibri" w:cs="Arial"/>
          <w:szCs w:val="22"/>
          <w:lang w:eastAsia="en-US"/>
        </w:rPr>
        <w:t>t</w:t>
      </w:r>
      <w:r w:rsidRPr="002B720B">
        <w:rPr>
          <w:rFonts w:eastAsia="Calibri" w:cs="Arial"/>
          <w:szCs w:val="22"/>
          <w:lang w:eastAsia="en-US"/>
        </w:rPr>
        <w:t>ro-) technisches Grundverständnis erfordert, ist sie zudem ideal für (arbeitslose) Hochschu</w:t>
      </w:r>
      <w:r w:rsidRPr="002B720B">
        <w:rPr>
          <w:rFonts w:eastAsia="Calibri" w:cs="Arial"/>
          <w:szCs w:val="22"/>
          <w:lang w:eastAsia="en-US"/>
        </w:rPr>
        <w:t>l</w:t>
      </w:r>
      <w:r w:rsidRPr="002B720B">
        <w:rPr>
          <w:rFonts w:eastAsia="Calibri" w:cs="Arial"/>
          <w:szCs w:val="22"/>
          <w:lang w:eastAsia="en-US"/>
        </w:rPr>
        <w:t xml:space="preserve">absolventen geeignet. Und da </w:t>
      </w:r>
      <w:r>
        <w:rPr>
          <w:rFonts w:eastAsia="Calibri" w:cs="Arial"/>
          <w:szCs w:val="22"/>
          <w:lang w:eastAsia="en-US"/>
        </w:rPr>
        <w:t>sie</w:t>
      </w:r>
      <w:r w:rsidRPr="002B720B">
        <w:rPr>
          <w:rFonts w:eastAsia="Calibri" w:cs="Arial"/>
          <w:szCs w:val="22"/>
          <w:lang w:eastAsia="en-US"/>
        </w:rPr>
        <w:t xml:space="preserve"> per </w:t>
      </w:r>
      <w:r w:rsidR="002F4426">
        <w:rPr>
          <w:rFonts w:eastAsia="Calibri" w:cs="Arial"/>
          <w:szCs w:val="22"/>
          <w:lang w:eastAsia="en-US"/>
        </w:rPr>
        <w:t>D</w:t>
      </w:r>
      <w:r w:rsidRPr="002B720B">
        <w:rPr>
          <w:rFonts w:eastAsia="Calibri" w:cs="Arial"/>
          <w:szCs w:val="22"/>
          <w:lang w:eastAsia="en-US"/>
        </w:rPr>
        <w:t>efinition</w:t>
      </w:r>
      <w:r w:rsidR="002F4426">
        <w:rPr>
          <w:rFonts w:eastAsia="Calibri" w:cs="Arial"/>
          <w:szCs w:val="22"/>
          <w:lang w:eastAsia="en-US"/>
        </w:rPr>
        <w:t xml:space="preserve"> </w:t>
      </w:r>
      <w:r w:rsidRPr="002B720B">
        <w:rPr>
          <w:rFonts w:eastAsia="Calibri" w:cs="Arial"/>
          <w:szCs w:val="22"/>
          <w:lang w:eastAsia="en-US"/>
        </w:rPr>
        <w:t>dezentral wahrgenommen wird, eignet sie sich ideal zur Arbeitsplatzschaffung in benachteiligten Landesteilen. Allerdings muss siche</w:t>
      </w:r>
      <w:r w:rsidRPr="002B720B">
        <w:rPr>
          <w:rFonts w:eastAsia="Calibri" w:cs="Arial"/>
          <w:szCs w:val="22"/>
          <w:lang w:eastAsia="en-US"/>
        </w:rPr>
        <w:t>r</w:t>
      </w:r>
      <w:r w:rsidRPr="002B720B">
        <w:rPr>
          <w:rFonts w:eastAsia="Calibri" w:cs="Arial"/>
          <w:szCs w:val="22"/>
          <w:lang w:eastAsia="en-US"/>
        </w:rPr>
        <w:t>gestellt werden, dass diese neuen Anbieter die erforderliche Qualität liefern, da sonst – bei raschem Zubau neuer Kapazitäten – schnell die Sicherheit des Systems gefährdet wäre.</w:t>
      </w:r>
    </w:p>
    <w:p w:rsidR="00DA32A5" w:rsidRPr="00DA32A5" w:rsidRDefault="00DA32A5" w:rsidP="00DA32A5">
      <w:pPr>
        <w:spacing w:after="120"/>
        <w:jc w:val="both"/>
        <w:rPr>
          <w:rFonts w:eastAsia="Calibri" w:cs="Arial"/>
          <w:szCs w:val="22"/>
          <w:lang w:eastAsia="en-US"/>
        </w:rPr>
      </w:pPr>
      <w:r w:rsidRPr="00DA32A5">
        <w:rPr>
          <w:rFonts w:eastAsia="Calibri" w:cs="Arial"/>
          <w:szCs w:val="22"/>
          <w:lang w:eastAsia="en-US"/>
        </w:rPr>
        <w:t xml:space="preserve">In einer ersten Studie wurde dieser neue Markt einer Wirtschaftlichkeitsanalyse unterzogen und die Beschäftigungseffekte berechnet: Die Anzahl der benötigten </w:t>
      </w:r>
      <w:r w:rsidR="006129A7" w:rsidRPr="00DA32A5">
        <w:rPr>
          <w:rFonts w:eastAsia="Calibri" w:cs="Arial"/>
          <w:szCs w:val="22"/>
          <w:lang w:eastAsia="en-US"/>
        </w:rPr>
        <w:t>Kontrolleure</w:t>
      </w:r>
      <w:r w:rsidRPr="00DA32A5">
        <w:rPr>
          <w:rFonts w:eastAsia="Calibri" w:cs="Arial"/>
          <w:szCs w:val="22"/>
          <w:lang w:eastAsia="en-US"/>
        </w:rPr>
        <w:t xml:space="preserve"> wird von 48 (in 2017) auf bis zu 80 (bis 2030) geschätzt, dazu würde die Marktentwicklung als solche </w:t>
      </w:r>
      <w:r w:rsidR="006129A7" w:rsidRPr="00DA32A5">
        <w:rPr>
          <w:rFonts w:eastAsia="Calibri" w:cs="Arial"/>
          <w:szCs w:val="22"/>
          <w:lang w:eastAsia="en-US"/>
        </w:rPr>
        <w:t>beschleunigt</w:t>
      </w:r>
      <w:r w:rsidRPr="00DA32A5">
        <w:rPr>
          <w:rFonts w:eastAsia="Calibri" w:cs="Arial"/>
          <w:szCs w:val="22"/>
          <w:lang w:eastAsia="en-US"/>
        </w:rPr>
        <w:t xml:space="preserve"> und die Nachhaltigkeit der Investitionen durch die Qualitätskontrollen erhöht. </w:t>
      </w:r>
      <w:r w:rsidR="006129A7">
        <w:rPr>
          <w:rFonts w:eastAsia="Calibri" w:cs="Arial"/>
          <w:szCs w:val="22"/>
          <w:lang w:eastAsia="en-US"/>
        </w:rPr>
        <w:t>Au</w:t>
      </w:r>
      <w:r w:rsidR="006129A7" w:rsidRPr="00DA32A5">
        <w:rPr>
          <w:rFonts w:eastAsia="Calibri" w:cs="Arial"/>
          <w:szCs w:val="22"/>
          <w:lang w:eastAsia="en-US"/>
        </w:rPr>
        <w:t xml:space="preserve">ßerdem wurden sich hieraus ergebende Anforderungen sowohl an den Gesetzgeber als auch an die Anbieter selbst thematisiert. </w:t>
      </w:r>
      <w:r w:rsidRPr="00DA32A5">
        <w:rPr>
          <w:rFonts w:eastAsia="Calibri" w:cs="Arial"/>
          <w:szCs w:val="22"/>
          <w:lang w:eastAsia="en-US"/>
        </w:rPr>
        <w:t xml:space="preserve">Die Ergebnisse wurden während mehrerer Stake-holderworkshops vorgestellt und von den tunesischen Partnern positiv bewertet. Auf dieser Grundlage wurde gemeinsam mit ANME und STEG ein </w:t>
      </w:r>
      <w:r w:rsidRPr="00051A30">
        <w:rPr>
          <w:rFonts w:eastAsia="Calibri" w:cs="Arial"/>
          <w:i/>
          <w:szCs w:val="22"/>
          <w:lang w:eastAsia="en-US"/>
        </w:rPr>
        <w:t>Rollout</w:t>
      </w:r>
      <w:r w:rsidRPr="00DA32A5">
        <w:rPr>
          <w:rFonts w:eastAsia="Calibri" w:cs="Arial"/>
          <w:szCs w:val="22"/>
          <w:lang w:eastAsia="en-US"/>
        </w:rPr>
        <w:t>-Plan für die nächsten beiden Jahre konzipiert, dessen Umsetzung im Juli beginnt. Er beinhaltet eine vertiefte Unters</w:t>
      </w:r>
      <w:r w:rsidRPr="00DA32A5">
        <w:rPr>
          <w:rFonts w:eastAsia="Calibri" w:cs="Arial"/>
          <w:szCs w:val="22"/>
          <w:lang w:eastAsia="en-US"/>
        </w:rPr>
        <w:t>u</w:t>
      </w:r>
      <w:r w:rsidRPr="00DA32A5">
        <w:rPr>
          <w:rFonts w:eastAsia="Calibri" w:cs="Arial"/>
          <w:szCs w:val="22"/>
          <w:lang w:eastAsia="en-US"/>
        </w:rPr>
        <w:t xml:space="preserve">chung der konkreten technischen und rechtlich-regulatorischen Voraussetzungen, ein Pilot-programm mit Schulungen und </w:t>
      </w:r>
      <w:r w:rsidRPr="00051A30">
        <w:rPr>
          <w:rFonts w:eastAsia="Calibri" w:cs="Arial"/>
          <w:i/>
          <w:szCs w:val="22"/>
          <w:lang w:eastAsia="en-US"/>
        </w:rPr>
        <w:t>Capacity Building</w:t>
      </w:r>
      <w:r w:rsidRPr="00DA32A5">
        <w:rPr>
          <w:rFonts w:eastAsia="Calibri" w:cs="Arial"/>
          <w:szCs w:val="22"/>
          <w:lang w:eastAsia="en-US"/>
        </w:rPr>
        <w:t>-Maßnahmen für ausgewählte Kandidaten, die Pilotumsetzung und Erprobung des Modells in einigen ausgewählten Distrikten sowie – bei positiver Evaluierung Mitte 2017 -</w:t>
      </w:r>
      <w:r w:rsidR="002764F3">
        <w:rPr>
          <w:rFonts w:eastAsia="Calibri" w:cs="Arial"/>
          <w:szCs w:val="22"/>
          <w:lang w:eastAsia="en-US"/>
        </w:rPr>
        <w:t>-</w:t>
      </w:r>
      <w:r w:rsidRPr="00DA32A5">
        <w:rPr>
          <w:rFonts w:eastAsia="Calibri" w:cs="Arial"/>
          <w:szCs w:val="22"/>
          <w:lang w:eastAsia="en-US"/>
        </w:rPr>
        <w:t xml:space="preserve"> die Umsetzung im nationalen Maßstab.</w:t>
      </w:r>
    </w:p>
    <w:p w:rsidR="00DA32A5" w:rsidRPr="00DA32A5" w:rsidRDefault="006129A7" w:rsidP="00DA32A5">
      <w:pPr>
        <w:spacing w:after="120"/>
        <w:jc w:val="both"/>
        <w:rPr>
          <w:rFonts w:eastAsia="Calibri" w:cs="Arial"/>
          <w:szCs w:val="22"/>
          <w:lang w:eastAsia="en-US"/>
        </w:rPr>
      </w:pPr>
      <w:r w:rsidRPr="00DA32A5">
        <w:rPr>
          <w:rFonts w:eastAsia="Calibri" w:cs="Arial"/>
          <w:szCs w:val="22"/>
          <w:lang w:eastAsia="en-US"/>
        </w:rPr>
        <w:t xml:space="preserve">In einer gemeinsam mit der ANME und ihrem französischen Pendant ADEME vereinbarten Kooperation soll technische Unterstützung für das tunesische Programm </w:t>
      </w:r>
      <w:r>
        <w:rPr>
          <w:rFonts w:eastAsia="Calibri" w:cs="Arial"/>
          <w:szCs w:val="22"/>
          <w:lang w:eastAsia="en-US"/>
        </w:rPr>
        <w:t>„</w:t>
      </w:r>
      <w:r w:rsidR="002764F3">
        <w:rPr>
          <w:rFonts w:eastAsia="Calibri" w:cs="Arial"/>
          <w:szCs w:val="22"/>
          <w:lang w:eastAsia="en-US"/>
        </w:rPr>
        <w:t>Kommunale</w:t>
      </w:r>
      <w:r w:rsidRPr="00DA32A5">
        <w:rPr>
          <w:rFonts w:eastAsia="Calibri" w:cs="Arial"/>
          <w:szCs w:val="22"/>
          <w:lang w:eastAsia="en-US"/>
        </w:rPr>
        <w:t xml:space="preserve"> All</w:t>
      </w:r>
      <w:r w:rsidRPr="00DA32A5">
        <w:rPr>
          <w:rFonts w:eastAsia="Calibri" w:cs="Arial"/>
          <w:szCs w:val="22"/>
          <w:lang w:eastAsia="en-US"/>
        </w:rPr>
        <w:t>i</w:t>
      </w:r>
      <w:r w:rsidRPr="00DA32A5">
        <w:rPr>
          <w:rFonts w:eastAsia="Calibri" w:cs="Arial"/>
          <w:szCs w:val="22"/>
          <w:lang w:eastAsia="en-US"/>
        </w:rPr>
        <w:t>anz für eine Energiewende</w:t>
      </w:r>
      <w:r>
        <w:rPr>
          <w:rFonts w:eastAsia="Calibri" w:cs="Arial"/>
          <w:szCs w:val="22"/>
          <w:lang w:eastAsia="en-US"/>
        </w:rPr>
        <w:t>“ (ACTE)</w:t>
      </w:r>
      <w:r w:rsidRPr="00DA32A5">
        <w:rPr>
          <w:rFonts w:eastAsia="Calibri" w:cs="Arial"/>
          <w:szCs w:val="22"/>
          <w:lang w:eastAsia="en-US"/>
        </w:rPr>
        <w:t xml:space="preserve"> mobilisiert werden, das von einer breiten Allianz staatl</w:t>
      </w:r>
      <w:r w:rsidRPr="00DA32A5">
        <w:rPr>
          <w:rFonts w:eastAsia="Calibri" w:cs="Arial"/>
          <w:szCs w:val="22"/>
          <w:lang w:eastAsia="en-US"/>
        </w:rPr>
        <w:t>i</w:t>
      </w:r>
      <w:r w:rsidRPr="00DA32A5">
        <w:rPr>
          <w:rFonts w:eastAsia="Calibri" w:cs="Arial"/>
          <w:szCs w:val="22"/>
          <w:lang w:eastAsia="en-US"/>
        </w:rPr>
        <w:t>cher Stellen getragen und das in Vorbereitung bzw. Begleitung der anstehenden Verfa</w:t>
      </w:r>
      <w:r w:rsidRPr="00DA32A5">
        <w:rPr>
          <w:rFonts w:eastAsia="Calibri" w:cs="Arial"/>
          <w:szCs w:val="22"/>
          <w:lang w:eastAsia="en-US"/>
        </w:rPr>
        <w:t>s</w:t>
      </w:r>
      <w:r>
        <w:rPr>
          <w:rFonts w:eastAsia="Calibri" w:cs="Arial"/>
          <w:szCs w:val="22"/>
          <w:lang w:eastAsia="en-US"/>
        </w:rPr>
        <w:t>sungsre</w:t>
      </w:r>
      <w:r w:rsidRPr="00DA32A5">
        <w:rPr>
          <w:rFonts w:eastAsia="Calibri" w:cs="Arial"/>
          <w:szCs w:val="22"/>
          <w:lang w:eastAsia="en-US"/>
        </w:rPr>
        <w:t>form und Dezentralisierung eine umfangreiche finanzielle Förderung für die komm</w:t>
      </w:r>
      <w:r w:rsidRPr="00DA32A5">
        <w:rPr>
          <w:rFonts w:eastAsia="Calibri" w:cs="Arial"/>
          <w:szCs w:val="22"/>
          <w:lang w:eastAsia="en-US"/>
        </w:rPr>
        <w:t>u</w:t>
      </w:r>
      <w:r>
        <w:rPr>
          <w:rFonts w:eastAsia="Calibri" w:cs="Arial"/>
          <w:szCs w:val="22"/>
          <w:lang w:eastAsia="en-US"/>
        </w:rPr>
        <w:t>nale Nut</w:t>
      </w:r>
      <w:r w:rsidRPr="00DA32A5">
        <w:rPr>
          <w:rFonts w:eastAsia="Calibri" w:cs="Arial"/>
          <w:szCs w:val="22"/>
          <w:lang w:eastAsia="en-US"/>
        </w:rPr>
        <w:t xml:space="preserve">zung von RE/EE anbieten wird. </w:t>
      </w:r>
      <w:r w:rsidR="00DA32A5" w:rsidRPr="00DA32A5">
        <w:rPr>
          <w:rFonts w:eastAsia="Calibri" w:cs="Arial"/>
          <w:szCs w:val="22"/>
          <w:lang w:eastAsia="en-US"/>
        </w:rPr>
        <w:t>Der Kooperation mit ANME und ADEME kommt in diesem Rahmen Pilotcharakter zu. Nutznießer sind zunächst die Stadtverwaltungen von B</w:t>
      </w:r>
      <w:r w:rsidR="00DA32A5" w:rsidRPr="00DA32A5">
        <w:rPr>
          <w:rFonts w:eastAsia="Calibri" w:cs="Arial"/>
          <w:szCs w:val="22"/>
          <w:lang w:eastAsia="en-US"/>
        </w:rPr>
        <w:t>i</w:t>
      </w:r>
      <w:r w:rsidR="00DA32A5" w:rsidRPr="00DA32A5">
        <w:rPr>
          <w:rFonts w:eastAsia="Calibri" w:cs="Arial"/>
          <w:szCs w:val="22"/>
          <w:lang w:eastAsia="en-US"/>
        </w:rPr>
        <w:t>zerte und Nabeul, die dabei unterstützt werden, Kompetenzen, Strategien und Projekte zu entwickeln – welche dann mit Anleitungen und Schulungen durch die miteinbezogenen nat</w:t>
      </w:r>
      <w:r w:rsidR="00DA32A5" w:rsidRPr="00DA32A5">
        <w:rPr>
          <w:rFonts w:eastAsia="Calibri" w:cs="Arial"/>
          <w:szCs w:val="22"/>
          <w:lang w:eastAsia="en-US"/>
        </w:rPr>
        <w:t>i</w:t>
      </w:r>
      <w:r w:rsidR="00DA32A5" w:rsidRPr="00DA32A5">
        <w:rPr>
          <w:rFonts w:eastAsia="Calibri" w:cs="Arial"/>
          <w:szCs w:val="22"/>
          <w:lang w:eastAsia="en-US"/>
        </w:rPr>
        <w:t xml:space="preserve">onale </w:t>
      </w:r>
      <w:r w:rsidRPr="00DA32A5">
        <w:rPr>
          <w:rFonts w:eastAsia="Calibri" w:cs="Arial"/>
          <w:szCs w:val="22"/>
          <w:lang w:eastAsia="en-US"/>
        </w:rPr>
        <w:t>Institutionen</w:t>
      </w:r>
      <w:r w:rsidR="00DA32A5" w:rsidRPr="00DA32A5">
        <w:rPr>
          <w:rFonts w:eastAsia="Calibri" w:cs="Arial"/>
          <w:szCs w:val="22"/>
          <w:lang w:eastAsia="en-US"/>
        </w:rPr>
        <w:t xml:space="preserve"> auf weitere Gemeinden übertragen werden soll, um über RE/EE gezielt für lokale </w:t>
      </w:r>
      <w:r w:rsidRPr="00DA32A5">
        <w:rPr>
          <w:rFonts w:eastAsia="Calibri" w:cs="Arial"/>
          <w:szCs w:val="22"/>
          <w:lang w:eastAsia="en-US"/>
        </w:rPr>
        <w:t>Beschäftigung</w:t>
      </w:r>
      <w:r w:rsidR="00DA32A5" w:rsidRPr="00DA32A5">
        <w:rPr>
          <w:rFonts w:eastAsia="Calibri" w:cs="Arial"/>
          <w:szCs w:val="22"/>
          <w:lang w:eastAsia="en-US"/>
        </w:rPr>
        <w:t xml:space="preserve"> und Wertschöpfung zu sorgen,. Die Umsetzung der Maßnahme lief im März an und ist auf 15 Monate veranschlagt.</w:t>
      </w:r>
    </w:p>
    <w:p w:rsidR="009C07B4" w:rsidRPr="00DA32A5" w:rsidRDefault="00C93429" w:rsidP="00DA32A5">
      <w:pPr>
        <w:rPr>
          <w:color w:val="1F497D"/>
        </w:rPr>
      </w:pPr>
      <w:r>
        <w:rPr>
          <w:rFonts w:eastAsia="Calibri" w:cs="Arial"/>
          <w:szCs w:val="22"/>
          <w:lang w:eastAsia="en-US"/>
        </w:rPr>
        <w:t>I</w:t>
      </w:r>
      <w:r w:rsidRPr="002B720B">
        <w:rPr>
          <w:rFonts w:eastAsia="Calibri" w:cs="Arial"/>
          <w:szCs w:val="22"/>
          <w:lang w:eastAsia="en-US"/>
        </w:rPr>
        <w:t xml:space="preserve">n </w:t>
      </w:r>
      <w:r w:rsidRPr="002B720B">
        <w:rPr>
          <w:rFonts w:eastAsia="Calibri" w:cs="Arial"/>
          <w:b/>
          <w:szCs w:val="22"/>
          <w:lang w:eastAsia="en-US"/>
        </w:rPr>
        <w:t xml:space="preserve">Ägypten </w:t>
      </w:r>
      <w:r>
        <w:rPr>
          <w:rFonts w:eastAsia="Calibri" w:cs="Arial"/>
          <w:szCs w:val="22"/>
          <w:lang w:eastAsia="en-US"/>
        </w:rPr>
        <w:t xml:space="preserve">wird die </w:t>
      </w:r>
      <w:r w:rsidRPr="002B720B">
        <w:rPr>
          <w:rFonts w:eastAsia="Calibri" w:cs="Arial"/>
          <w:szCs w:val="22"/>
          <w:lang w:eastAsia="en-US"/>
        </w:rPr>
        <w:t xml:space="preserve">notwendige </w:t>
      </w:r>
      <w:r>
        <w:rPr>
          <w:rFonts w:eastAsia="Calibri" w:cs="Arial"/>
          <w:szCs w:val="22"/>
          <w:lang w:eastAsia="en-US"/>
        </w:rPr>
        <w:t>Stärk</w:t>
      </w:r>
      <w:r w:rsidRPr="002B720B">
        <w:rPr>
          <w:rFonts w:eastAsia="Calibri" w:cs="Arial"/>
          <w:szCs w:val="22"/>
          <w:lang w:eastAsia="en-US"/>
        </w:rPr>
        <w:t>ung verteilter Erzeugungsansätze sowie effizienzste</w:t>
      </w:r>
      <w:r w:rsidRPr="002B720B">
        <w:rPr>
          <w:rFonts w:eastAsia="Calibri" w:cs="Arial"/>
          <w:szCs w:val="22"/>
          <w:lang w:eastAsia="en-US"/>
        </w:rPr>
        <w:t>i</w:t>
      </w:r>
      <w:r w:rsidRPr="002B720B">
        <w:rPr>
          <w:rFonts w:eastAsia="Calibri" w:cs="Arial"/>
          <w:szCs w:val="22"/>
          <w:lang w:eastAsia="en-US"/>
        </w:rPr>
        <w:t>gernder bzw. verbrauchsreduzierender Maßnahmen insbesondere im Rahmen und mit Hilfe der NREAP- und NEEAP-Prozesse angegangen, an denen RE-ACTIVATE gemeinsam mit RCREEE beteiligt ist und die bereits in Bezug auf Indikator 1 beschrieben wurden. Mit Blick auf Indikator 2 unterstützt das Vorhaben insbesondere die Entwicklung und Nutzung dezen</w:t>
      </w:r>
      <w:r w:rsidRPr="002B720B">
        <w:rPr>
          <w:rFonts w:eastAsia="Calibri" w:cs="Arial"/>
          <w:szCs w:val="22"/>
          <w:lang w:eastAsia="en-US"/>
        </w:rPr>
        <w:t>t</w:t>
      </w:r>
      <w:r w:rsidRPr="002B720B">
        <w:rPr>
          <w:rFonts w:eastAsia="Calibri" w:cs="Arial"/>
          <w:szCs w:val="22"/>
          <w:lang w:eastAsia="en-US"/>
        </w:rPr>
        <w:t>raler, nicht-netzgebundener Technologien und Anwendungen im Bereich solare Bewäss</w:t>
      </w:r>
      <w:r w:rsidRPr="002B720B">
        <w:rPr>
          <w:rFonts w:eastAsia="Calibri" w:cs="Arial"/>
          <w:szCs w:val="22"/>
          <w:lang w:eastAsia="en-US"/>
        </w:rPr>
        <w:t>e</w:t>
      </w:r>
      <w:r w:rsidRPr="002B720B">
        <w:rPr>
          <w:rFonts w:eastAsia="Calibri" w:cs="Arial"/>
          <w:szCs w:val="22"/>
          <w:lang w:eastAsia="en-US"/>
        </w:rPr>
        <w:t>rungs- und Hybridsysteme. Erstere sind insbesondere angesichts der ehrgeizigen Ziele für den Ausbau der ägyptischen Landwirtschaft sowie die Erschließung neuer Gebiete abseits des übervölkerten Niltals relevant, zumal das Land bereits jetzt mit großen Problemen bei der Sicherstellung der Wasserversorgung im ländlichen Raum durch diesel- oder netzbetri</w:t>
      </w:r>
      <w:r w:rsidRPr="002B720B">
        <w:rPr>
          <w:rFonts w:eastAsia="Calibri" w:cs="Arial"/>
          <w:szCs w:val="22"/>
          <w:lang w:eastAsia="en-US"/>
        </w:rPr>
        <w:t>e</w:t>
      </w:r>
      <w:r w:rsidRPr="002B720B">
        <w:rPr>
          <w:rFonts w:eastAsia="Calibri" w:cs="Arial"/>
          <w:szCs w:val="22"/>
          <w:lang w:eastAsia="en-US"/>
        </w:rPr>
        <w:t>ben Pumpen konfrontiert sind (regelmäßiger Stromausfall und explodierende Betriebskosten wegen rückläufiger Dieselsubventionen). Dies betrifft auch unmittelbar viele große Verbra</w:t>
      </w:r>
      <w:r w:rsidRPr="002B720B">
        <w:rPr>
          <w:rFonts w:eastAsia="Calibri" w:cs="Arial"/>
          <w:szCs w:val="22"/>
          <w:lang w:eastAsia="en-US"/>
        </w:rPr>
        <w:t>u</w:t>
      </w:r>
      <w:r w:rsidRPr="002B720B">
        <w:rPr>
          <w:rFonts w:eastAsia="Calibri" w:cs="Arial"/>
          <w:szCs w:val="22"/>
          <w:lang w:eastAsia="en-US"/>
        </w:rPr>
        <w:t>cher in entlegenen Landesteilen, die, wie etwa die großen Tourismusanlagen am Roten Meer, nicht ans Netz angeschlossen sind und über Dieselgeneratoren versorgt werden.</w:t>
      </w:r>
    </w:p>
    <w:p w:rsidR="009C07B4" w:rsidRPr="002B720B" w:rsidRDefault="00C93429" w:rsidP="009C07B4">
      <w:pPr>
        <w:spacing w:after="120"/>
        <w:jc w:val="both"/>
        <w:rPr>
          <w:rFonts w:eastAsia="Calibri" w:cs="Arial"/>
          <w:szCs w:val="22"/>
          <w:lang w:eastAsia="en-US"/>
        </w:rPr>
      </w:pPr>
      <w:r w:rsidRPr="002B720B">
        <w:rPr>
          <w:rFonts w:eastAsia="Calibri" w:cs="Arial"/>
          <w:szCs w:val="22"/>
          <w:lang w:eastAsia="en-US"/>
        </w:rPr>
        <w:t>Mit Hilfe zweier Marktanalysen wird daher das lokale Wertschöpfungs- und Beschäftigung</w:t>
      </w:r>
      <w:r w:rsidRPr="002B720B">
        <w:rPr>
          <w:rFonts w:eastAsia="Calibri" w:cs="Arial"/>
          <w:szCs w:val="22"/>
          <w:lang w:eastAsia="en-US"/>
        </w:rPr>
        <w:t>s</w:t>
      </w:r>
      <w:r w:rsidRPr="002B720B">
        <w:rPr>
          <w:rFonts w:eastAsia="Calibri" w:cs="Arial"/>
          <w:szCs w:val="22"/>
          <w:lang w:eastAsia="en-US"/>
        </w:rPr>
        <w:t>potential durch Solarpumpen und ‘</w:t>
      </w:r>
      <w:r w:rsidRPr="00051A30">
        <w:rPr>
          <w:rFonts w:eastAsia="Calibri" w:cs="Arial"/>
          <w:i/>
          <w:szCs w:val="22"/>
          <w:lang w:eastAsia="en-US"/>
        </w:rPr>
        <w:t>Diesel-to-Solar Off-Grid</w:t>
      </w:r>
      <w:r w:rsidRPr="002B720B">
        <w:rPr>
          <w:rFonts w:eastAsia="Calibri" w:cs="Arial"/>
          <w:szCs w:val="22"/>
          <w:lang w:eastAsia="en-US"/>
        </w:rPr>
        <w:t xml:space="preserve"> Hydrid-Systeme‘ untersucht. Auf dieser Grundlage werden sozio-ökonomische Effekte für die lokale Bevölkerung ermittelt, kurz- und mittelfristige Qualifizierungs- und Förderbedarfe erfasst und in ein integriertes </w:t>
      </w:r>
      <w:r w:rsidRPr="00051A30">
        <w:rPr>
          <w:rFonts w:eastAsia="Calibri" w:cs="Arial"/>
          <w:i/>
          <w:szCs w:val="22"/>
          <w:lang w:eastAsia="en-US"/>
        </w:rPr>
        <w:t>Rollout</w:t>
      </w:r>
      <w:r w:rsidRPr="002B720B">
        <w:rPr>
          <w:rFonts w:eastAsia="Calibri" w:cs="Arial"/>
          <w:szCs w:val="22"/>
          <w:lang w:eastAsia="en-US"/>
        </w:rPr>
        <w:t>-Programm überführt. Die möglichen Auswirkungen auf die natürlichen Wasserre</w:t>
      </w:r>
      <w:r w:rsidRPr="002B720B">
        <w:rPr>
          <w:rFonts w:eastAsia="Calibri" w:cs="Arial"/>
          <w:szCs w:val="22"/>
          <w:lang w:eastAsia="en-US"/>
        </w:rPr>
        <w:t>s</w:t>
      </w:r>
      <w:r w:rsidRPr="002B720B">
        <w:rPr>
          <w:rFonts w:eastAsia="Calibri" w:cs="Arial"/>
          <w:szCs w:val="22"/>
          <w:lang w:eastAsia="en-US"/>
        </w:rPr>
        <w:t xml:space="preserve">sourcen und die lokale Wasserversorgung spielen </w:t>
      </w:r>
      <w:r>
        <w:rPr>
          <w:rFonts w:eastAsia="Calibri" w:cs="Arial"/>
          <w:szCs w:val="22"/>
          <w:lang w:eastAsia="en-US"/>
        </w:rPr>
        <w:t xml:space="preserve">hierbei ebenfalls </w:t>
      </w:r>
      <w:r w:rsidRPr="002B720B">
        <w:rPr>
          <w:rFonts w:eastAsia="Calibri" w:cs="Arial"/>
          <w:szCs w:val="22"/>
          <w:lang w:eastAsia="en-US"/>
        </w:rPr>
        <w:t xml:space="preserve">eine zentrale Rolle. Auf der Grundlage </w:t>
      </w:r>
      <w:r>
        <w:rPr>
          <w:rFonts w:eastAsia="Calibri" w:cs="Arial"/>
          <w:szCs w:val="22"/>
          <w:lang w:eastAsia="en-US"/>
        </w:rPr>
        <w:t>der Befunde sollen</w:t>
      </w:r>
      <w:r w:rsidRPr="002B720B">
        <w:rPr>
          <w:rFonts w:eastAsia="Calibri" w:cs="Arial"/>
          <w:szCs w:val="22"/>
          <w:lang w:eastAsia="en-US"/>
        </w:rPr>
        <w:t xml:space="preserve"> konkrete Pilotprojekte und Fördermaßnahmen entwickelt</w:t>
      </w:r>
      <w:r>
        <w:rPr>
          <w:rFonts w:eastAsia="Calibri" w:cs="Arial"/>
          <w:szCs w:val="22"/>
          <w:lang w:eastAsia="en-US"/>
        </w:rPr>
        <w:t xml:space="preserve"> und </w:t>
      </w:r>
      <w:r w:rsidRPr="002B720B">
        <w:rPr>
          <w:rFonts w:eastAsia="Calibri" w:cs="Arial"/>
          <w:szCs w:val="22"/>
          <w:lang w:eastAsia="en-US"/>
        </w:rPr>
        <w:t>für einige ausgewählte Fallbeispiel</w:t>
      </w:r>
      <w:r>
        <w:rPr>
          <w:rFonts w:eastAsia="Calibri" w:cs="Arial"/>
          <w:szCs w:val="22"/>
          <w:lang w:eastAsia="en-US"/>
        </w:rPr>
        <w:t>e</w:t>
      </w:r>
      <w:r w:rsidRPr="002B720B">
        <w:rPr>
          <w:rFonts w:eastAsia="Calibri" w:cs="Arial"/>
          <w:szCs w:val="22"/>
          <w:lang w:eastAsia="en-US"/>
        </w:rPr>
        <w:t xml:space="preserve"> und Landesteile umgesetzt werden. Beide </w:t>
      </w:r>
      <w:r>
        <w:rPr>
          <w:rFonts w:eastAsia="Calibri" w:cs="Arial"/>
          <w:szCs w:val="22"/>
          <w:lang w:eastAsia="en-US"/>
        </w:rPr>
        <w:t>Seg</w:t>
      </w:r>
      <w:r w:rsidRPr="002B720B">
        <w:rPr>
          <w:rFonts w:eastAsia="Calibri" w:cs="Arial"/>
          <w:szCs w:val="22"/>
          <w:lang w:eastAsia="en-US"/>
        </w:rPr>
        <w:t>me</w:t>
      </w:r>
      <w:r w:rsidRPr="002B720B">
        <w:rPr>
          <w:rFonts w:eastAsia="Calibri" w:cs="Arial"/>
          <w:szCs w:val="22"/>
          <w:lang w:eastAsia="en-US"/>
        </w:rPr>
        <w:t>n</w:t>
      </w:r>
      <w:r w:rsidRPr="002B720B">
        <w:rPr>
          <w:rFonts w:eastAsia="Calibri" w:cs="Arial"/>
          <w:szCs w:val="22"/>
          <w:lang w:eastAsia="en-US"/>
        </w:rPr>
        <w:t>te bieten zudem ein großes Poten</w:t>
      </w:r>
      <w:r>
        <w:rPr>
          <w:rFonts w:eastAsia="Calibri" w:cs="Arial"/>
          <w:szCs w:val="22"/>
          <w:lang w:eastAsia="en-US"/>
        </w:rPr>
        <w:t xml:space="preserve">tial für den </w:t>
      </w:r>
      <w:r w:rsidRPr="002764F3">
        <w:rPr>
          <w:rFonts w:eastAsia="Calibri" w:cs="Arial"/>
          <w:szCs w:val="22"/>
          <w:lang w:eastAsia="en-US"/>
        </w:rPr>
        <w:t>Knowhow</w:t>
      </w:r>
      <w:r w:rsidRPr="002B720B">
        <w:rPr>
          <w:rFonts w:eastAsia="Calibri" w:cs="Arial"/>
          <w:szCs w:val="22"/>
          <w:lang w:eastAsia="en-US"/>
        </w:rPr>
        <w:t xml:space="preserve">-Austausch auf Süd-Süd-Ebene. Am Ende der Laufzeit sollen die Ergebnisse daher im Rahmen zweier großer </w:t>
      </w:r>
      <w:r>
        <w:rPr>
          <w:rFonts w:eastAsia="Calibri" w:cs="Arial"/>
          <w:szCs w:val="22"/>
          <w:lang w:eastAsia="en-US"/>
        </w:rPr>
        <w:t>Regionalk</w:t>
      </w:r>
      <w:r w:rsidRPr="002B720B">
        <w:rPr>
          <w:rFonts w:eastAsia="Calibri" w:cs="Arial"/>
          <w:szCs w:val="22"/>
          <w:lang w:eastAsia="en-US"/>
        </w:rPr>
        <w:t>onfere</w:t>
      </w:r>
      <w:r w:rsidRPr="002B720B">
        <w:rPr>
          <w:rFonts w:eastAsia="Calibri" w:cs="Arial"/>
          <w:szCs w:val="22"/>
          <w:lang w:eastAsia="en-US"/>
        </w:rPr>
        <w:t>n</w:t>
      </w:r>
      <w:r w:rsidRPr="002B720B">
        <w:rPr>
          <w:rFonts w:eastAsia="Calibri" w:cs="Arial"/>
          <w:szCs w:val="22"/>
          <w:lang w:eastAsia="en-US"/>
        </w:rPr>
        <w:t xml:space="preserve">zen </w:t>
      </w:r>
      <w:r>
        <w:rPr>
          <w:rFonts w:eastAsia="Calibri" w:cs="Arial"/>
          <w:szCs w:val="22"/>
          <w:lang w:eastAsia="en-US"/>
        </w:rPr>
        <w:t xml:space="preserve">präsentiert </w:t>
      </w:r>
      <w:r w:rsidRPr="002B720B">
        <w:rPr>
          <w:rFonts w:eastAsia="Calibri" w:cs="Arial"/>
          <w:szCs w:val="22"/>
          <w:lang w:eastAsia="en-US"/>
        </w:rPr>
        <w:t xml:space="preserve">und für </w:t>
      </w:r>
      <w:r>
        <w:rPr>
          <w:rFonts w:eastAsia="Calibri" w:cs="Arial"/>
          <w:szCs w:val="22"/>
          <w:lang w:eastAsia="en-US"/>
        </w:rPr>
        <w:t xml:space="preserve">die Nutzung durch </w:t>
      </w:r>
      <w:r w:rsidRPr="002B720B">
        <w:rPr>
          <w:rFonts w:eastAsia="Calibri" w:cs="Arial"/>
          <w:szCs w:val="22"/>
          <w:lang w:eastAsia="en-US"/>
        </w:rPr>
        <w:t>weitere Zielgruppen verfügbar gemacht werden.</w:t>
      </w:r>
    </w:p>
    <w:p w:rsidR="009C07B4" w:rsidRPr="002B720B" w:rsidRDefault="00C93429" w:rsidP="009C07B4">
      <w:pPr>
        <w:spacing w:after="120"/>
        <w:jc w:val="both"/>
        <w:rPr>
          <w:rStyle w:val="Seitenzahl"/>
        </w:rPr>
      </w:pPr>
      <w:r w:rsidRPr="002B720B">
        <w:rPr>
          <w:rFonts w:eastAsia="Calibri" w:cs="Arial"/>
          <w:szCs w:val="22"/>
          <w:lang w:eastAsia="en-US"/>
        </w:rPr>
        <w:t>Ein klarer Schwerpunkt des Vorhabens liegt in allen drei Fokusländern auf der Förderung von neu entstehenden Marktnischen und Anwendungsmöglichkeiten für RE/EE im ländlichen Raum. Sowohl für Marokko also auch für Tunesien wurde jeweils eine Bestandsaufnahme der aktuellen Wertschöpfungs- und Beschäftigungseffekte in der Landwirtschaft und Na</w:t>
      </w:r>
      <w:r w:rsidRPr="002B720B">
        <w:rPr>
          <w:rFonts w:eastAsia="Calibri" w:cs="Arial"/>
          <w:szCs w:val="22"/>
          <w:lang w:eastAsia="en-US"/>
        </w:rPr>
        <w:t>h</w:t>
      </w:r>
      <w:r w:rsidRPr="002B720B">
        <w:rPr>
          <w:rFonts w:eastAsia="Calibri" w:cs="Arial"/>
          <w:szCs w:val="22"/>
          <w:lang w:eastAsia="en-US"/>
        </w:rPr>
        <w:t>rungsmittelverarbeitung durchgeführt und dabei auch mögliche Effekte für die Zukunft them</w:t>
      </w:r>
      <w:r w:rsidRPr="002B720B">
        <w:rPr>
          <w:rFonts w:eastAsia="Calibri" w:cs="Arial"/>
          <w:szCs w:val="22"/>
          <w:lang w:eastAsia="en-US"/>
        </w:rPr>
        <w:t>a</w:t>
      </w:r>
      <w:r w:rsidRPr="002B720B">
        <w:rPr>
          <w:rFonts w:eastAsia="Calibri" w:cs="Arial"/>
          <w:szCs w:val="22"/>
          <w:lang w:eastAsia="en-US"/>
        </w:rPr>
        <w:t>tisiert (in Tunesien in enger Zusammenarbeit mit ANME, APIA und DMS). Auf der Grundlage dieser Marktanalyse werden aktuell für die nächsten 12 Monate zwei große, integrierte A</w:t>
      </w:r>
      <w:r w:rsidRPr="002B720B">
        <w:rPr>
          <w:rFonts w:eastAsia="Calibri" w:cs="Arial"/>
          <w:szCs w:val="22"/>
          <w:lang w:eastAsia="en-US"/>
        </w:rPr>
        <w:t>r</w:t>
      </w:r>
      <w:r w:rsidRPr="002B720B">
        <w:rPr>
          <w:rFonts w:eastAsia="Calibri" w:cs="Arial"/>
          <w:szCs w:val="22"/>
          <w:lang w:eastAsia="en-US"/>
        </w:rPr>
        <w:t xml:space="preserve">beitspakete </w:t>
      </w:r>
      <w:r>
        <w:rPr>
          <w:rFonts w:eastAsia="Calibri" w:cs="Arial"/>
          <w:szCs w:val="22"/>
          <w:lang w:eastAsia="en-US"/>
        </w:rPr>
        <w:t>entwickelt</w:t>
      </w:r>
      <w:r w:rsidRPr="002B720B">
        <w:rPr>
          <w:rFonts w:eastAsia="Calibri" w:cs="Arial"/>
          <w:szCs w:val="22"/>
          <w:lang w:eastAsia="en-US"/>
        </w:rPr>
        <w:t xml:space="preserve">, </w:t>
      </w:r>
      <w:r>
        <w:rPr>
          <w:rFonts w:eastAsia="Calibri" w:cs="Arial"/>
          <w:szCs w:val="22"/>
          <w:lang w:eastAsia="en-US"/>
        </w:rPr>
        <w:t xml:space="preserve">welche </w:t>
      </w:r>
      <w:r w:rsidRPr="002B720B">
        <w:rPr>
          <w:rFonts w:eastAsia="Calibri" w:cs="Arial"/>
          <w:szCs w:val="22"/>
          <w:lang w:eastAsia="en-US"/>
        </w:rPr>
        <w:t>die Unterstützung von Pilot- und Demonstrationsprojekten, die Durchführung von Kommunikations- und Sensibilisierungsmaßnahmen für die lokale B</w:t>
      </w:r>
      <w:r w:rsidRPr="002B720B">
        <w:rPr>
          <w:rFonts w:eastAsia="Calibri" w:cs="Arial"/>
          <w:szCs w:val="22"/>
          <w:lang w:eastAsia="en-US"/>
        </w:rPr>
        <w:t>e</w:t>
      </w:r>
      <w:r w:rsidRPr="002B720B">
        <w:rPr>
          <w:rFonts w:eastAsia="Calibri" w:cs="Arial"/>
          <w:szCs w:val="22"/>
          <w:lang w:eastAsia="en-US"/>
        </w:rPr>
        <w:t>völkerung sowie die Entwicklung von Schulungsmaßnahmen für lokale Anbieter vorsehen. In Marokko wird ein Führer entstehen, der Fördermechanismen für RE/EE im Landwirtschaft</w:t>
      </w:r>
      <w:r w:rsidRPr="002B720B">
        <w:rPr>
          <w:rFonts w:eastAsia="Calibri" w:cs="Arial"/>
          <w:szCs w:val="22"/>
          <w:lang w:eastAsia="en-US"/>
        </w:rPr>
        <w:t>s</w:t>
      </w:r>
      <w:r w:rsidRPr="002B720B">
        <w:rPr>
          <w:rFonts w:eastAsia="Calibri" w:cs="Arial"/>
          <w:szCs w:val="22"/>
          <w:lang w:eastAsia="en-US"/>
        </w:rPr>
        <w:t>bereich aufzeigt. In Tunesien wird ein Film produziert, der die Anwendungsmöglichkeiten von RE/EE im Landwirtschaftsbereich thematisiert. In Ägypten werden aktuell existierende Sch</w:t>
      </w:r>
      <w:r w:rsidRPr="002B720B">
        <w:rPr>
          <w:rFonts w:eastAsia="Calibri" w:cs="Arial"/>
          <w:szCs w:val="22"/>
          <w:lang w:eastAsia="en-US"/>
        </w:rPr>
        <w:t>u</w:t>
      </w:r>
      <w:r w:rsidRPr="002B720B">
        <w:rPr>
          <w:rFonts w:eastAsia="Calibri" w:cs="Arial"/>
          <w:szCs w:val="22"/>
          <w:lang w:eastAsia="en-US"/>
        </w:rPr>
        <w:t>lungsunterlagen und Handbücher für Solarpumpen und Hybridsysteme ins Arabische übe</w:t>
      </w:r>
      <w:r w:rsidRPr="002B720B">
        <w:rPr>
          <w:rFonts w:eastAsia="Calibri" w:cs="Arial"/>
          <w:szCs w:val="22"/>
          <w:lang w:eastAsia="en-US"/>
        </w:rPr>
        <w:t>r</w:t>
      </w:r>
      <w:r w:rsidRPr="002B720B">
        <w:rPr>
          <w:rFonts w:eastAsia="Calibri" w:cs="Arial"/>
          <w:szCs w:val="22"/>
          <w:lang w:eastAsia="en-US"/>
        </w:rPr>
        <w:t>setzt und anschließend über die Projektteams und die Regionalnetzwerke in den anderen Partnerländern verbreitet. A</w:t>
      </w:r>
      <w:r>
        <w:rPr>
          <w:rFonts w:eastAsia="Calibri" w:cs="Arial"/>
          <w:szCs w:val="22"/>
          <w:lang w:eastAsia="en-US"/>
        </w:rPr>
        <w:t>ußerdem wurde</w:t>
      </w:r>
      <w:r w:rsidRPr="002B720B">
        <w:rPr>
          <w:rFonts w:eastAsia="Calibri" w:cs="Arial"/>
          <w:szCs w:val="22"/>
          <w:lang w:eastAsia="en-US"/>
        </w:rPr>
        <w:t xml:space="preserve"> </w:t>
      </w:r>
      <w:r>
        <w:rPr>
          <w:rFonts w:eastAsia="Calibri" w:cs="Arial"/>
          <w:szCs w:val="22"/>
          <w:lang w:eastAsia="en-US"/>
        </w:rPr>
        <w:t xml:space="preserve">eine </w:t>
      </w:r>
      <w:r w:rsidRPr="002B720B">
        <w:rPr>
          <w:rFonts w:eastAsia="Calibri" w:cs="Arial"/>
          <w:szCs w:val="22"/>
          <w:lang w:eastAsia="en-US"/>
        </w:rPr>
        <w:t>10 KW PV</w:t>
      </w:r>
      <w:r w:rsidR="00084DBA">
        <w:rPr>
          <w:rFonts w:eastAsia="Calibri" w:cs="Arial"/>
          <w:szCs w:val="22"/>
          <w:lang w:eastAsia="en-US"/>
        </w:rPr>
        <w:t>-</w:t>
      </w:r>
      <w:r w:rsidRPr="002B720B">
        <w:rPr>
          <w:rFonts w:eastAsia="Calibri" w:cs="Arial"/>
          <w:szCs w:val="22"/>
          <w:lang w:eastAsia="en-US"/>
        </w:rPr>
        <w:t xml:space="preserve">Anlage </w:t>
      </w:r>
      <w:r>
        <w:rPr>
          <w:rFonts w:eastAsia="Calibri" w:cs="Arial"/>
          <w:szCs w:val="22"/>
          <w:lang w:eastAsia="en-US"/>
        </w:rPr>
        <w:t>auf dem Dach der</w:t>
      </w:r>
      <w:r w:rsidRPr="002B720B">
        <w:rPr>
          <w:rFonts w:eastAsia="Calibri" w:cs="Arial"/>
          <w:szCs w:val="22"/>
          <w:lang w:eastAsia="en-US"/>
        </w:rPr>
        <w:t xml:space="preserve"> APIA installiert</w:t>
      </w:r>
      <w:r>
        <w:rPr>
          <w:rFonts w:eastAsia="Calibri" w:cs="Arial"/>
          <w:szCs w:val="22"/>
          <w:lang w:eastAsia="en-US"/>
        </w:rPr>
        <w:t xml:space="preserve">, </w:t>
      </w:r>
      <w:r w:rsidRPr="002B720B">
        <w:rPr>
          <w:rFonts w:eastAsia="Calibri" w:cs="Arial"/>
          <w:szCs w:val="22"/>
          <w:lang w:eastAsia="en-US"/>
        </w:rPr>
        <w:t>die fortan zu Schulungs- und Demonstrationszwecken genutzt werden kann.</w:t>
      </w:r>
    </w:p>
    <w:p w:rsidR="009C07B4" w:rsidRPr="002B720B" w:rsidRDefault="00C93429" w:rsidP="009C07B4">
      <w:pPr>
        <w:spacing w:after="120"/>
        <w:jc w:val="both"/>
        <w:rPr>
          <w:rFonts w:eastAsia="Calibri" w:cs="Arial"/>
          <w:szCs w:val="22"/>
          <w:lang w:eastAsia="en-US"/>
        </w:rPr>
      </w:pPr>
      <w:r w:rsidRPr="002B720B">
        <w:rPr>
          <w:rStyle w:val="Seitenzahl"/>
          <w:rFonts w:cs="Arial"/>
        </w:rPr>
        <w:t>Ein grundlegendes Problem bei der geplanten Entwicklung und Vertiefung lokaler Wer</w:t>
      </w:r>
      <w:r w:rsidRPr="002B720B">
        <w:rPr>
          <w:rStyle w:val="Seitenzahl"/>
          <w:rFonts w:cs="Arial"/>
        </w:rPr>
        <w:t>t</w:t>
      </w:r>
      <w:r w:rsidRPr="002B720B">
        <w:rPr>
          <w:rStyle w:val="Seitenzahl"/>
          <w:rFonts w:cs="Arial"/>
        </w:rPr>
        <w:t>schöpfungsketten auf RE/EE-Basis ist die immer noch sehr geringe Anzahl spezialisierter und qualifizierter Unternehmen und Arbeitskräfte vor Ort. Ein Ansatz, der helfen könnte, L</w:t>
      </w:r>
      <w:r w:rsidRPr="002B720B">
        <w:rPr>
          <w:rStyle w:val="Seitenzahl"/>
          <w:rFonts w:cs="Arial"/>
        </w:rPr>
        <w:t>ü</w:t>
      </w:r>
      <w:r w:rsidRPr="002B720B">
        <w:rPr>
          <w:rStyle w:val="Seitenzahl"/>
          <w:rFonts w:cs="Arial"/>
        </w:rPr>
        <w:t>cken zu schließen, Ressourcen zu poolen und die verschiedenen Akteure zusammenzufü</w:t>
      </w:r>
      <w:r w:rsidRPr="002B720B">
        <w:rPr>
          <w:rStyle w:val="Seitenzahl"/>
          <w:rFonts w:cs="Arial"/>
        </w:rPr>
        <w:t>h</w:t>
      </w:r>
      <w:r w:rsidRPr="002B720B">
        <w:rPr>
          <w:rStyle w:val="Seitenzahl"/>
          <w:rFonts w:cs="Arial"/>
        </w:rPr>
        <w:t>ren und auf eine gemeinsame Agenda zu verpflichten, ist die Entwicklung und Vertiefung von Clusterprozessen und -strukturen im Bereich RE/EE. Deutsche und europäische Clusterve</w:t>
      </w:r>
      <w:r w:rsidRPr="002B720B">
        <w:rPr>
          <w:rStyle w:val="Seitenzahl"/>
          <w:rFonts w:cs="Arial"/>
        </w:rPr>
        <w:t>r</w:t>
      </w:r>
      <w:r w:rsidRPr="002B720B">
        <w:rPr>
          <w:rStyle w:val="Seitenzahl"/>
          <w:rFonts w:cs="Arial"/>
        </w:rPr>
        <w:t>treter und -experten, die in diesem Bereich wichtige Erfahrungen gesammelt haben, könnten ihren südlichen Kollegen wertvolle Unterstützung leisten und zugleich länder- und regione</w:t>
      </w:r>
      <w:r w:rsidRPr="002B720B">
        <w:rPr>
          <w:rStyle w:val="Seitenzahl"/>
          <w:rFonts w:cs="Arial"/>
        </w:rPr>
        <w:t>n</w:t>
      </w:r>
      <w:r w:rsidRPr="002B720B">
        <w:rPr>
          <w:rStyle w:val="Seitenzahl"/>
          <w:rFonts w:cs="Arial"/>
        </w:rPr>
        <w:t>übergreifende B2B-Kooperationen und Investitionen im RE/EE Bereich anstoßen und stru</w:t>
      </w:r>
      <w:r w:rsidRPr="002B720B">
        <w:rPr>
          <w:rStyle w:val="Seitenzahl"/>
          <w:rFonts w:cs="Arial"/>
        </w:rPr>
        <w:t>k</w:t>
      </w:r>
      <w:r w:rsidRPr="002B720B">
        <w:rPr>
          <w:rStyle w:val="Seitenzahl"/>
          <w:rFonts w:cs="Arial"/>
        </w:rPr>
        <w:t xml:space="preserve">turieren helfen. </w:t>
      </w:r>
      <w:r w:rsidRPr="002B720B">
        <w:rPr>
          <w:rFonts w:eastAsia="Calibri" w:cs="Arial"/>
          <w:szCs w:val="22"/>
          <w:lang w:eastAsia="en-US"/>
        </w:rPr>
        <w:t>Daher arbeitete das Vorhaben gemeinsam mit</w:t>
      </w:r>
      <w:r>
        <w:rPr>
          <w:rFonts w:eastAsia="Calibri" w:cs="Arial"/>
          <w:szCs w:val="22"/>
          <w:lang w:eastAsia="en-US"/>
        </w:rPr>
        <w:t xml:space="preserve"> der Organisationseinheit für die Kooperation mit der Wirtschaft </w:t>
      </w:r>
      <w:r w:rsidRPr="002B720B">
        <w:rPr>
          <w:rFonts w:eastAsia="Calibri" w:cs="Arial"/>
          <w:szCs w:val="22"/>
          <w:lang w:eastAsia="en-US"/>
        </w:rPr>
        <w:t>der GIZ und dem SV „Innovative Kooperationsansätze mit der Wirtschaft (IKW)“ im Rahmen eines längerfristigen Projekts an einer Unterstützung so</w:t>
      </w:r>
      <w:r w:rsidRPr="002B720B">
        <w:rPr>
          <w:rFonts w:eastAsia="Calibri" w:cs="Arial"/>
          <w:szCs w:val="22"/>
          <w:lang w:eastAsia="en-US"/>
        </w:rPr>
        <w:t>l</w:t>
      </w:r>
      <w:r w:rsidRPr="002B720B">
        <w:rPr>
          <w:rFonts w:eastAsia="Calibri" w:cs="Arial"/>
          <w:szCs w:val="22"/>
          <w:lang w:eastAsia="en-US"/>
        </w:rPr>
        <w:t>cher Cluster-Kooperationen zwischen DEU/EUR und MENA. Zu diesem Zweck wurden von RE-ACTIVATE zwei Studien auf den Weg gebracht</w:t>
      </w:r>
      <w:r>
        <w:rPr>
          <w:rFonts w:eastAsia="Calibri" w:cs="Arial"/>
          <w:szCs w:val="22"/>
          <w:lang w:eastAsia="en-US"/>
        </w:rPr>
        <w:t xml:space="preserve">: ein gesamtregionales </w:t>
      </w:r>
      <w:r w:rsidRPr="002B720B">
        <w:rPr>
          <w:rFonts w:eastAsia="Calibri" w:cs="Arial"/>
          <w:szCs w:val="22"/>
          <w:lang w:eastAsia="en-US"/>
        </w:rPr>
        <w:t>Screening von RE/EE</w:t>
      </w:r>
      <w:r w:rsidR="00D14032">
        <w:rPr>
          <w:rFonts w:eastAsia="Calibri" w:cs="Arial"/>
          <w:szCs w:val="22"/>
          <w:lang w:eastAsia="en-US"/>
        </w:rPr>
        <w:t>-</w:t>
      </w:r>
      <w:r w:rsidRPr="002B720B">
        <w:rPr>
          <w:rFonts w:eastAsia="Calibri" w:cs="Arial"/>
          <w:szCs w:val="22"/>
          <w:lang w:eastAsia="en-US"/>
        </w:rPr>
        <w:t xml:space="preserve">Clusterprozessen und </w:t>
      </w:r>
      <w:r w:rsidR="00084DBA">
        <w:rPr>
          <w:rFonts w:eastAsia="Calibri" w:cs="Arial"/>
          <w:szCs w:val="22"/>
          <w:lang w:eastAsia="en-US"/>
        </w:rPr>
        <w:t>-</w:t>
      </w:r>
      <w:r w:rsidRPr="002B720B">
        <w:rPr>
          <w:rFonts w:eastAsia="Calibri" w:cs="Arial"/>
          <w:szCs w:val="22"/>
          <w:lang w:eastAsia="en-US"/>
        </w:rPr>
        <w:t>akteuren im MENA Raum sowie eine vertiefte Analyse de</w:t>
      </w:r>
      <w:r w:rsidRPr="002B720B">
        <w:rPr>
          <w:rFonts w:eastAsia="Calibri" w:cs="Arial"/>
          <w:szCs w:val="22"/>
          <w:lang w:eastAsia="en-US"/>
        </w:rPr>
        <w:t>r</w:t>
      </w:r>
      <w:r w:rsidRPr="002B720B">
        <w:rPr>
          <w:rFonts w:eastAsia="Calibri" w:cs="Arial"/>
          <w:szCs w:val="22"/>
          <w:lang w:eastAsia="en-US"/>
        </w:rPr>
        <w:t xml:space="preserve">selben Thematik in den 3 Fokusländern. Beide Studien liegen vor und bilden eine wichtige </w:t>
      </w:r>
      <w:r>
        <w:rPr>
          <w:rFonts w:eastAsia="Calibri" w:cs="Arial"/>
          <w:szCs w:val="22"/>
          <w:lang w:eastAsia="en-US"/>
        </w:rPr>
        <w:t>G</w:t>
      </w:r>
      <w:r w:rsidRPr="002B720B">
        <w:rPr>
          <w:rFonts w:eastAsia="Calibri" w:cs="Arial"/>
          <w:szCs w:val="22"/>
          <w:lang w:eastAsia="en-US"/>
        </w:rPr>
        <w:t>rundlage für das weitere Vorgehen.</w:t>
      </w:r>
    </w:p>
    <w:p w:rsidR="009C07B4" w:rsidRDefault="00C93429" w:rsidP="009C07B4">
      <w:pPr>
        <w:spacing w:after="120"/>
        <w:jc w:val="both"/>
        <w:rPr>
          <w:rFonts w:eastAsia="Calibri" w:cs="Arial"/>
          <w:szCs w:val="22"/>
          <w:lang w:eastAsia="en-US"/>
        </w:rPr>
      </w:pPr>
      <w:r w:rsidRPr="002B720B">
        <w:rPr>
          <w:rFonts w:eastAsia="Calibri" w:cs="Arial"/>
          <w:szCs w:val="22"/>
          <w:lang w:eastAsia="en-US"/>
        </w:rPr>
        <w:t>Insgesamt 4 inter-regionale Stakeholder</w:t>
      </w:r>
      <w:r w:rsidR="00D14032">
        <w:rPr>
          <w:rFonts w:eastAsia="Calibri" w:cs="Arial"/>
          <w:szCs w:val="22"/>
          <w:lang w:eastAsia="en-US"/>
        </w:rPr>
        <w:t>-</w:t>
      </w:r>
      <w:r w:rsidRPr="002B720B">
        <w:rPr>
          <w:rFonts w:eastAsia="Calibri" w:cs="Arial"/>
          <w:szCs w:val="22"/>
          <w:lang w:eastAsia="en-US"/>
        </w:rPr>
        <w:t xml:space="preserve">Workshops wurden durchgeführt: </w:t>
      </w:r>
      <w:r>
        <w:rPr>
          <w:rFonts w:eastAsia="Calibri" w:cs="Arial"/>
          <w:szCs w:val="22"/>
          <w:lang w:eastAsia="en-US"/>
        </w:rPr>
        <w:t>darunter im B</w:t>
      </w:r>
      <w:r>
        <w:rPr>
          <w:rFonts w:eastAsia="Calibri" w:cs="Arial"/>
          <w:szCs w:val="22"/>
          <w:lang w:eastAsia="en-US"/>
        </w:rPr>
        <w:t>e</w:t>
      </w:r>
      <w:r>
        <w:rPr>
          <w:rFonts w:eastAsia="Calibri" w:cs="Arial"/>
          <w:szCs w:val="22"/>
          <w:lang w:eastAsia="en-US"/>
        </w:rPr>
        <w:t>richtszeitraum</w:t>
      </w:r>
      <w:r w:rsidRPr="002B720B">
        <w:rPr>
          <w:rFonts w:eastAsia="Calibri" w:cs="Arial"/>
          <w:szCs w:val="22"/>
          <w:lang w:eastAsia="en-US"/>
        </w:rPr>
        <w:t xml:space="preserve"> am 11.-12.11.201</w:t>
      </w:r>
      <w:r>
        <w:rPr>
          <w:rFonts w:eastAsia="Calibri" w:cs="Arial"/>
          <w:szCs w:val="22"/>
          <w:lang w:eastAsia="en-US"/>
        </w:rPr>
        <w:t>5</w:t>
      </w:r>
      <w:r w:rsidRPr="002B720B">
        <w:rPr>
          <w:rFonts w:eastAsia="Calibri" w:cs="Arial"/>
          <w:szCs w:val="22"/>
          <w:lang w:eastAsia="en-US"/>
        </w:rPr>
        <w:t xml:space="preserve"> in Berlin. Hauptziel war – neben dem gegenseitigen Ke</w:t>
      </w:r>
      <w:r w:rsidRPr="002B720B">
        <w:rPr>
          <w:rFonts w:eastAsia="Calibri" w:cs="Arial"/>
          <w:szCs w:val="22"/>
          <w:lang w:eastAsia="en-US"/>
        </w:rPr>
        <w:t>n</w:t>
      </w:r>
      <w:r w:rsidRPr="002B720B">
        <w:rPr>
          <w:rFonts w:eastAsia="Calibri" w:cs="Arial"/>
          <w:szCs w:val="22"/>
          <w:lang w:eastAsia="en-US"/>
        </w:rPr>
        <w:t xml:space="preserve">nenlernen und einem besseren Verständnis der jeweiligen Märkte </w:t>
      </w:r>
      <w:r w:rsidR="00956327">
        <w:rPr>
          <w:rFonts w:eastAsia="Calibri" w:cs="Arial"/>
          <w:szCs w:val="22"/>
          <w:lang w:eastAsia="en-US"/>
        </w:rPr>
        <w:t>-</w:t>
      </w:r>
      <w:r w:rsidRPr="002B720B">
        <w:rPr>
          <w:rFonts w:eastAsia="Calibri" w:cs="Arial"/>
          <w:szCs w:val="22"/>
          <w:lang w:eastAsia="en-US"/>
        </w:rPr>
        <w:t>- die Identifizierung ko</w:t>
      </w:r>
      <w:r w:rsidRPr="002B720B">
        <w:rPr>
          <w:rFonts w:eastAsia="Calibri" w:cs="Arial"/>
          <w:szCs w:val="22"/>
          <w:lang w:eastAsia="en-US"/>
        </w:rPr>
        <w:t>n</w:t>
      </w:r>
      <w:r w:rsidRPr="002B720B">
        <w:rPr>
          <w:rFonts w:eastAsia="Calibri" w:cs="Arial"/>
          <w:szCs w:val="22"/>
          <w:lang w:eastAsia="en-US"/>
        </w:rPr>
        <w:t>kreter Kooperationsmöglichkeiten unter und mit den beteiligten Akteuren. Im Laufe der Zeit kristallisierte sich immer mehr ein „harter Kern“ aus einem guten Dutzend Akteuren heraus, die zu ungefähr gleichen Teilen aus 7 Ländern stammen: DEU, EGY, ESP, FRA, MAR, TUN, TUR. Damit wurde ein wichtiges Ziel erreicht, nämlich die Identifizierung vertra</w:t>
      </w:r>
      <w:r w:rsidRPr="002B720B">
        <w:rPr>
          <w:rFonts w:eastAsia="Calibri" w:cs="Arial"/>
          <w:szCs w:val="22"/>
          <w:lang w:eastAsia="en-US"/>
        </w:rPr>
        <w:t>u</w:t>
      </w:r>
      <w:r w:rsidRPr="002B720B">
        <w:rPr>
          <w:rFonts w:eastAsia="Calibri" w:cs="Arial"/>
          <w:szCs w:val="22"/>
          <w:lang w:eastAsia="en-US"/>
        </w:rPr>
        <w:t>enswürdiger und leistungsfähiger Partner vor Ort sowie die Konstituierung eines länder- und regione</w:t>
      </w:r>
      <w:r w:rsidRPr="002B720B">
        <w:rPr>
          <w:rFonts w:eastAsia="Calibri" w:cs="Arial"/>
          <w:szCs w:val="22"/>
          <w:lang w:eastAsia="en-US"/>
        </w:rPr>
        <w:t>n</w:t>
      </w:r>
      <w:r w:rsidRPr="002B720B">
        <w:rPr>
          <w:rFonts w:eastAsia="Calibri" w:cs="Arial"/>
          <w:szCs w:val="22"/>
          <w:lang w:eastAsia="en-US"/>
        </w:rPr>
        <w:t>übergreifenden Clusternetzwerks, das auch zu Kommunikations- und Multiplikat</w:t>
      </w:r>
      <w:r w:rsidRPr="002B720B">
        <w:rPr>
          <w:rFonts w:eastAsia="Calibri" w:cs="Arial"/>
          <w:szCs w:val="22"/>
          <w:lang w:eastAsia="en-US"/>
        </w:rPr>
        <w:t>i</w:t>
      </w:r>
      <w:r w:rsidRPr="002B720B">
        <w:rPr>
          <w:rFonts w:eastAsia="Calibri" w:cs="Arial"/>
          <w:szCs w:val="22"/>
          <w:lang w:eastAsia="en-US"/>
        </w:rPr>
        <w:t xml:space="preserve">onszwecken auf MENA- bzw. Euromed-Ebene genutzt werden kann. </w:t>
      </w:r>
    </w:p>
    <w:p w:rsidR="009C07B4" w:rsidRPr="002B720B" w:rsidRDefault="00C93429" w:rsidP="009C07B4">
      <w:pPr>
        <w:spacing w:after="120"/>
        <w:jc w:val="both"/>
        <w:rPr>
          <w:rFonts w:eastAsia="Calibri" w:cs="Arial"/>
          <w:b/>
          <w:szCs w:val="22"/>
          <w:lang w:eastAsia="en-US"/>
        </w:rPr>
      </w:pPr>
      <w:r w:rsidRPr="002B720B">
        <w:rPr>
          <w:rFonts w:eastAsia="Calibri" w:cs="Arial"/>
          <w:b/>
          <w:szCs w:val="22"/>
          <w:lang w:eastAsia="en-US"/>
        </w:rPr>
        <w:t xml:space="preserve">Indikator </w:t>
      </w:r>
      <w:r w:rsidRPr="002B720B">
        <w:rPr>
          <w:rFonts w:cs="Arial"/>
          <w:b/>
          <w:szCs w:val="22"/>
        </w:rPr>
        <w:t xml:space="preserve">3: </w:t>
      </w:r>
      <w:r w:rsidRPr="00604E60">
        <w:rPr>
          <w:rFonts w:cs="Arial"/>
          <w:szCs w:val="22"/>
        </w:rPr>
        <w:t>Für 2 RE/EE-Marktsegmente sind in 2 Ländern Aus- und Fortbildungsangebote sowie Qualitätssicherungssysteme etabliert</w:t>
      </w:r>
      <w:r w:rsidRPr="00757FAA">
        <w:rPr>
          <w:rFonts w:cs="Arial"/>
          <w:b/>
          <w:szCs w:val="22"/>
        </w:rPr>
        <w:t xml:space="preserve"> </w:t>
      </w:r>
      <w:r>
        <w:rPr>
          <w:rFonts w:cs="Arial"/>
          <w:b/>
          <w:szCs w:val="22"/>
        </w:rPr>
        <w:t>(</w:t>
      </w:r>
      <w:r w:rsidRPr="00BA264C">
        <w:rPr>
          <w:rFonts w:cs="Arial"/>
          <w:b/>
          <w:szCs w:val="22"/>
        </w:rPr>
        <w:t xml:space="preserve">Basiswert: </w:t>
      </w:r>
      <w:r w:rsidR="00563A50">
        <w:rPr>
          <w:rFonts w:cs="Arial"/>
          <w:b/>
          <w:szCs w:val="22"/>
        </w:rPr>
        <w:t xml:space="preserve"> 1 (ISO 50 001)</w:t>
      </w:r>
      <w:r w:rsidRPr="00BA264C">
        <w:rPr>
          <w:rFonts w:cs="Arial"/>
          <w:b/>
          <w:szCs w:val="22"/>
        </w:rPr>
        <w:t xml:space="preserve">; Zielwert: </w:t>
      </w:r>
      <w:r w:rsidRPr="00757FAA">
        <w:rPr>
          <w:rFonts w:cs="Arial"/>
          <w:szCs w:val="22"/>
        </w:rPr>
        <w:t>etablierte Systeme für</w:t>
      </w:r>
      <w:r w:rsidRPr="002B720B">
        <w:rPr>
          <w:rFonts w:cs="Arial"/>
          <w:b/>
          <w:szCs w:val="22"/>
        </w:rPr>
        <w:t xml:space="preserve"> 2 </w:t>
      </w:r>
      <w:r w:rsidRPr="00757FAA">
        <w:rPr>
          <w:rFonts w:cs="Arial"/>
          <w:szCs w:val="22"/>
        </w:rPr>
        <w:t>Marktsegmente in</w:t>
      </w:r>
      <w:r w:rsidRPr="002B720B">
        <w:rPr>
          <w:rFonts w:cs="Arial"/>
          <w:b/>
          <w:szCs w:val="22"/>
        </w:rPr>
        <w:t xml:space="preserve"> 2 </w:t>
      </w:r>
      <w:r w:rsidRPr="00757FAA">
        <w:rPr>
          <w:rFonts w:cs="Arial"/>
          <w:szCs w:val="22"/>
        </w:rPr>
        <w:t>Ländern</w:t>
      </w:r>
      <w:r w:rsidRPr="00BA264C">
        <w:rPr>
          <w:rFonts w:cs="Arial"/>
          <w:b/>
          <w:szCs w:val="22"/>
        </w:rPr>
        <w:t xml:space="preserve">; Istwert: </w:t>
      </w:r>
      <w:r>
        <w:rPr>
          <w:rFonts w:cs="Arial"/>
          <w:b/>
          <w:szCs w:val="22"/>
        </w:rPr>
        <w:t xml:space="preserve">3 </w:t>
      </w:r>
      <w:r w:rsidRPr="00CF48AC">
        <w:rPr>
          <w:rFonts w:cs="Arial"/>
          <w:szCs w:val="22"/>
        </w:rPr>
        <w:t xml:space="preserve">Schulungsangebote </w:t>
      </w:r>
      <w:r>
        <w:rPr>
          <w:rFonts w:cs="Arial"/>
          <w:szCs w:val="22"/>
        </w:rPr>
        <w:t xml:space="preserve">und </w:t>
      </w:r>
      <w:r w:rsidRPr="00CF48AC">
        <w:rPr>
          <w:rFonts w:cs="Arial"/>
          <w:b/>
          <w:szCs w:val="22"/>
        </w:rPr>
        <w:t>3</w:t>
      </w:r>
      <w:r>
        <w:rPr>
          <w:rFonts w:cs="Arial"/>
          <w:szCs w:val="22"/>
        </w:rPr>
        <w:t xml:space="preserve"> Qualität</w:t>
      </w:r>
      <w:r>
        <w:rPr>
          <w:rFonts w:cs="Arial"/>
          <w:szCs w:val="22"/>
        </w:rPr>
        <w:t>s</w:t>
      </w:r>
      <w:r>
        <w:rPr>
          <w:rFonts w:cs="Arial"/>
          <w:szCs w:val="22"/>
        </w:rPr>
        <w:t xml:space="preserve">systeme </w:t>
      </w:r>
      <w:r w:rsidRPr="00CF48AC">
        <w:rPr>
          <w:rFonts w:cs="Arial"/>
          <w:szCs w:val="22"/>
        </w:rPr>
        <w:t>für</w:t>
      </w:r>
      <w:r>
        <w:rPr>
          <w:rFonts w:cs="Arial"/>
          <w:b/>
          <w:szCs w:val="22"/>
        </w:rPr>
        <w:t xml:space="preserve"> 3 </w:t>
      </w:r>
      <w:r w:rsidRPr="00CF48AC">
        <w:rPr>
          <w:rFonts w:cs="Arial"/>
          <w:szCs w:val="22"/>
        </w:rPr>
        <w:t>Marktsegment</w:t>
      </w:r>
      <w:r>
        <w:rPr>
          <w:rFonts w:cs="Arial"/>
          <w:szCs w:val="22"/>
        </w:rPr>
        <w:t>e</w:t>
      </w:r>
      <w:r>
        <w:rPr>
          <w:rFonts w:cs="Arial"/>
          <w:b/>
          <w:szCs w:val="22"/>
        </w:rPr>
        <w:t xml:space="preserve"> </w:t>
      </w:r>
      <w:r w:rsidRPr="0073161C">
        <w:rPr>
          <w:rFonts w:cs="Arial"/>
          <w:szCs w:val="22"/>
        </w:rPr>
        <w:t>in</w:t>
      </w:r>
      <w:r>
        <w:rPr>
          <w:rFonts w:cs="Arial"/>
          <w:b/>
          <w:szCs w:val="22"/>
        </w:rPr>
        <w:t xml:space="preserve"> 3 </w:t>
      </w:r>
      <w:r w:rsidRPr="00CF48AC">
        <w:rPr>
          <w:rFonts w:cs="Arial"/>
          <w:szCs w:val="22"/>
        </w:rPr>
        <w:t xml:space="preserve">Ländern </w:t>
      </w:r>
      <w:r>
        <w:rPr>
          <w:rFonts w:cs="Arial"/>
          <w:szCs w:val="22"/>
        </w:rPr>
        <w:t>entwickelt bzw. in Vorbereitung</w:t>
      </w:r>
      <w:r>
        <w:rPr>
          <w:rFonts w:cs="Arial"/>
          <w:b/>
          <w:szCs w:val="22"/>
        </w:rPr>
        <w:t>).</w:t>
      </w:r>
    </w:p>
    <w:p w:rsidR="00CB730B" w:rsidRPr="00DD3EE4" w:rsidRDefault="00C93429" w:rsidP="009C07B4">
      <w:pPr>
        <w:spacing w:after="120"/>
        <w:jc w:val="both"/>
        <w:rPr>
          <w:rFonts w:eastAsia="Calibri" w:cs="Arial"/>
          <w:szCs w:val="22"/>
          <w:lang w:eastAsia="en-US"/>
        </w:rPr>
      </w:pPr>
      <w:r w:rsidRPr="002B720B">
        <w:rPr>
          <w:rFonts w:eastAsia="Calibri" w:cs="Arial"/>
          <w:szCs w:val="22"/>
          <w:lang w:eastAsia="en-US"/>
        </w:rPr>
        <w:t>Zur Erfüllung dieses Indikators führt das Vorhaben in Zusammenarbeit mit Partnern und Ko</w:t>
      </w:r>
      <w:r w:rsidRPr="002B720B">
        <w:rPr>
          <w:rFonts w:eastAsia="Calibri" w:cs="Arial"/>
          <w:szCs w:val="22"/>
          <w:lang w:eastAsia="en-US"/>
        </w:rPr>
        <w:t>l</w:t>
      </w:r>
      <w:r w:rsidRPr="002B720B">
        <w:rPr>
          <w:rFonts w:eastAsia="Calibri" w:cs="Arial"/>
          <w:szCs w:val="22"/>
          <w:lang w:eastAsia="en-US"/>
        </w:rPr>
        <w:t xml:space="preserve">legen in den Fokusländern gezielte Trainings- und </w:t>
      </w:r>
      <w:r w:rsidRPr="00051A30">
        <w:rPr>
          <w:rFonts w:eastAsia="Calibri" w:cs="Arial"/>
          <w:i/>
          <w:szCs w:val="22"/>
          <w:lang w:eastAsia="en-US"/>
        </w:rPr>
        <w:t>Capacity-Building</w:t>
      </w:r>
      <w:r w:rsidRPr="002B720B">
        <w:rPr>
          <w:rFonts w:eastAsia="Calibri" w:cs="Arial"/>
          <w:szCs w:val="22"/>
          <w:lang w:eastAsia="en-US"/>
        </w:rPr>
        <w:t>-Maßnahmen durch</w:t>
      </w:r>
      <w:r w:rsidR="00AA4A6A">
        <w:rPr>
          <w:rFonts w:eastAsia="Calibri" w:cs="Arial"/>
          <w:szCs w:val="22"/>
          <w:lang w:eastAsia="en-US"/>
        </w:rPr>
        <w:t xml:space="preserve">. </w:t>
      </w:r>
      <w:r w:rsidR="006129A7">
        <w:rPr>
          <w:rFonts w:eastAsia="Calibri" w:cs="Arial"/>
          <w:szCs w:val="22"/>
          <w:lang w:eastAsia="en-US"/>
        </w:rPr>
        <w:t xml:space="preserve">Diese </w:t>
      </w:r>
      <w:r w:rsidR="006129A7" w:rsidRPr="002B720B">
        <w:rPr>
          <w:rFonts w:eastAsia="Calibri" w:cs="Arial"/>
          <w:szCs w:val="22"/>
          <w:lang w:eastAsia="en-US"/>
        </w:rPr>
        <w:t xml:space="preserve"> Erfahrungen</w:t>
      </w:r>
      <w:r w:rsidR="006129A7">
        <w:rPr>
          <w:rFonts w:eastAsia="Calibri" w:cs="Arial"/>
          <w:szCs w:val="22"/>
          <w:lang w:eastAsia="en-US"/>
        </w:rPr>
        <w:t xml:space="preserve"> werden genutzt</w:t>
      </w:r>
      <w:r w:rsidR="006129A7" w:rsidRPr="002B720B">
        <w:rPr>
          <w:rFonts w:eastAsia="Calibri" w:cs="Arial"/>
          <w:szCs w:val="22"/>
          <w:lang w:eastAsia="en-US"/>
        </w:rPr>
        <w:t xml:space="preserve"> um den Auf- und Ausbau praxisorientierter und internat</w:t>
      </w:r>
      <w:r w:rsidR="006129A7" w:rsidRPr="002B720B">
        <w:rPr>
          <w:rFonts w:eastAsia="Calibri" w:cs="Arial"/>
          <w:szCs w:val="22"/>
          <w:lang w:eastAsia="en-US"/>
        </w:rPr>
        <w:t>i</w:t>
      </w:r>
      <w:r w:rsidR="006129A7" w:rsidRPr="002B720B">
        <w:rPr>
          <w:rFonts w:eastAsia="Calibri" w:cs="Arial"/>
          <w:szCs w:val="22"/>
          <w:lang w:eastAsia="en-US"/>
        </w:rPr>
        <w:t>onal kompatibler Qualitätsstand</w:t>
      </w:r>
      <w:r w:rsidR="00956327">
        <w:rPr>
          <w:rFonts w:eastAsia="Calibri" w:cs="Arial"/>
          <w:szCs w:val="22"/>
          <w:lang w:eastAsia="en-US"/>
        </w:rPr>
        <w:t>ards und -systeme im RE/EE-</w:t>
      </w:r>
      <w:r w:rsidR="006129A7">
        <w:rPr>
          <w:rFonts w:eastAsia="Calibri" w:cs="Arial"/>
          <w:szCs w:val="22"/>
          <w:lang w:eastAsia="en-US"/>
        </w:rPr>
        <w:t>Aus</w:t>
      </w:r>
      <w:r w:rsidR="006129A7" w:rsidRPr="002B720B">
        <w:rPr>
          <w:rFonts w:eastAsia="Calibri" w:cs="Arial"/>
          <w:szCs w:val="22"/>
          <w:lang w:eastAsia="en-US"/>
        </w:rPr>
        <w:t>bildungsbereich auf vora</w:t>
      </w:r>
      <w:r w:rsidR="006129A7" w:rsidRPr="002B720B">
        <w:rPr>
          <w:rFonts w:eastAsia="Calibri" w:cs="Arial"/>
          <w:szCs w:val="22"/>
          <w:lang w:eastAsia="en-US"/>
        </w:rPr>
        <w:t>n</w:t>
      </w:r>
      <w:r w:rsidR="006129A7" w:rsidRPr="002B720B">
        <w:rPr>
          <w:rFonts w:eastAsia="Calibri" w:cs="Arial"/>
          <w:szCs w:val="22"/>
          <w:lang w:eastAsia="en-US"/>
        </w:rPr>
        <w:t xml:space="preserve">zutreiben. </w:t>
      </w:r>
      <w:r w:rsidR="00CB730B">
        <w:rPr>
          <w:rFonts w:eastAsia="Cambria" w:cs="Arial"/>
          <w:bCs/>
          <w:szCs w:val="22"/>
          <w:lang w:eastAsia="fr-FR"/>
        </w:rPr>
        <w:t>Unmittelb</w:t>
      </w:r>
      <w:r w:rsidR="002F4426">
        <w:rPr>
          <w:rFonts w:eastAsia="Cambria" w:cs="Arial"/>
          <w:bCs/>
          <w:szCs w:val="22"/>
          <w:lang w:eastAsia="fr-FR"/>
        </w:rPr>
        <w:t>ar beschäftigungsrelevant sind</w:t>
      </w:r>
      <w:r w:rsidR="00CB730B">
        <w:rPr>
          <w:rFonts w:eastAsia="Cambria" w:cs="Arial"/>
          <w:bCs/>
          <w:szCs w:val="22"/>
          <w:lang w:eastAsia="fr-FR"/>
        </w:rPr>
        <w:t xml:space="preserve"> Aus- und Fortbildungsgänge, die auf neue Be</w:t>
      </w:r>
      <w:r w:rsidR="00360B5B">
        <w:rPr>
          <w:rFonts w:eastAsia="Cambria" w:cs="Arial"/>
          <w:bCs/>
          <w:szCs w:val="22"/>
          <w:lang w:eastAsia="fr-FR"/>
        </w:rPr>
        <w:t xml:space="preserve">rufe und Tätigkeiten hinführen. </w:t>
      </w:r>
      <w:r w:rsidR="00CB730B">
        <w:rPr>
          <w:rFonts w:eastAsia="Cambria" w:cs="Arial"/>
          <w:bCs/>
          <w:szCs w:val="22"/>
          <w:lang w:eastAsia="fr-FR"/>
        </w:rPr>
        <w:t>Damit diese jedoch allgemein akzeptiert und langfri</w:t>
      </w:r>
      <w:r w:rsidR="00CB730B">
        <w:rPr>
          <w:rFonts w:eastAsia="Cambria" w:cs="Arial"/>
          <w:bCs/>
          <w:szCs w:val="22"/>
          <w:lang w:eastAsia="fr-FR"/>
        </w:rPr>
        <w:t>s</w:t>
      </w:r>
      <w:r w:rsidR="00CB730B">
        <w:rPr>
          <w:rFonts w:eastAsia="Cambria" w:cs="Arial"/>
          <w:bCs/>
          <w:szCs w:val="22"/>
          <w:lang w:eastAsia="fr-FR"/>
        </w:rPr>
        <w:t>tig abgesichert sind, sollten sie wenn möglich in die jeweilige Gesetzgebung aufgenommen und mit konkreten Zertifizierungsmechanismen hinterlegt werden. D.h. es muss sichergestellt sein, dass ein Beruf oder eine Tätigkeit nur ausgeübt werden darf, wenn jemand eine b</w:t>
      </w:r>
      <w:r w:rsidR="00CB730B">
        <w:rPr>
          <w:rFonts w:eastAsia="Cambria" w:cs="Arial"/>
          <w:bCs/>
          <w:szCs w:val="22"/>
          <w:lang w:eastAsia="fr-FR"/>
        </w:rPr>
        <w:t>e</w:t>
      </w:r>
      <w:r w:rsidR="00CB730B">
        <w:rPr>
          <w:rFonts w:eastAsia="Cambria" w:cs="Arial"/>
          <w:bCs/>
          <w:szCs w:val="22"/>
          <w:lang w:eastAsia="fr-FR"/>
        </w:rPr>
        <w:t xml:space="preserve">stimmte Schulung von einem qualifizierten Anbieter nach einem vorgegebenen Muster durchlaufen hat (und diese zudem </w:t>
      </w:r>
      <w:r w:rsidR="006129A7">
        <w:rPr>
          <w:rFonts w:eastAsia="Cambria" w:cs="Arial"/>
          <w:bCs/>
          <w:szCs w:val="22"/>
          <w:lang w:eastAsia="fr-FR"/>
        </w:rPr>
        <w:t>kontinuierlich</w:t>
      </w:r>
      <w:r w:rsidR="00CB730B">
        <w:rPr>
          <w:rFonts w:eastAsia="Cambria" w:cs="Arial"/>
          <w:bCs/>
          <w:szCs w:val="22"/>
          <w:lang w:eastAsia="fr-FR"/>
        </w:rPr>
        <w:t xml:space="preserve"> überprüft wird und erneuert werden muss). Dies trifft für die</w:t>
      </w:r>
      <w:r w:rsidR="00AA4A6A">
        <w:rPr>
          <w:rFonts w:eastAsia="Cambria" w:cs="Arial"/>
          <w:bCs/>
          <w:szCs w:val="22"/>
          <w:lang w:eastAsia="fr-FR"/>
        </w:rPr>
        <w:t xml:space="preserve"> </w:t>
      </w:r>
      <w:r w:rsidR="00AA4A6A" w:rsidRPr="007B66EF">
        <w:rPr>
          <w:rFonts w:eastAsia="Cambria" w:cs="Arial"/>
          <w:bCs/>
          <w:i/>
          <w:szCs w:val="22"/>
          <w:lang w:eastAsia="fr-FR"/>
        </w:rPr>
        <w:t>Certified Energy Management Professional</w:t>
      </w:r>
      <w:r w:rsidR="00AA4A6A" w:rsidRPr="002B720B">
        <w:rPr>
          <w:rFonts w:eastAsia="Cambria" w:cs="Arial"/>
          <w:bCs/>
          <w:szCs w:val="22"/>
          <w:lang w:eastAsia="fr-FR"/>
        </w:rPr>
        <w:t xml:space="preserve"> (CEMP)</w:t>
      </w:r>
      <w:r w:rsidR="00CB730B">
        <w:rPr>
          <w:rFonts w:eastAsia="Cambria" w:cs="Arial"/>
          <w:bCs/>
          <w:szCs w:val="22"/>
          <w:lang w:eastAsia="fr-FR"/>
        </w:rPr>
        <w:t xml:space="preserve"> und </w:t>
      </w:r>
      <w:r w:rsidR="00AA4A6A" w:rsidRPr="007B66EF">
        <w:rPr>
          <w:rFonts w:eastAsia="Calibri" w:cs="Arial"/>
          <w:i/>
          <w:szCs w:val="22"/>
          <w:lang w:eastAsia="en-US"/>
        </w:rPr>
        <w:t>Expert-Spécialiste en Efficacité Energétique</w:t>
      </w:r>
      <w:r w:rsidR="00AA4A6A" w:rsidRPr="002B720B">
        <w:rPr>
          <w:rFonts w:eastAsia="Calibri" w:cs="Arial"/>
          <w:szCs w:val="22"/>
          <w:lang w:eastAsia="en-US"/>
        </w:rPr>
        <w:t xml:space="preserve"> (</w:t>
      </w:r>
      <w:r w:rsidR="00AA4A6A">
        <w:rPr>
          <w:rFonts w:eastAsia="Calibri" w:cs="Arial"/>
          <w:szCs w:val="22"/>
          <w:lang w:eastAsia="en-US"/>
        </w:rPr>
        <w:t>C3</w:t>
      </w:r>
      <w:r w:rsidR="00AA4A6A" w:rsidRPr="002B720B">
        <w:rPr>
          <w:rFonts w:eastAsia="Calibri" w:cs="Arial"/>
          <w:szCs w:val="22"/>
          <w:lang w:eastAsia="en-US"/>
        </w:rPr>
        <w:t>E</w:t>
      </w:r>
      <w:r w:rsidR="00051A30">
        <w:rPr>
          <w:rFonts w:eastAsia="Calibri" w:cs="Arial"/>
          <w:szCs w:val="22"/>
          <w:lang w:eastAsia="en-US"/>
        </w:rPr>
        <w:t>)</w:t>
      </w:r>
      <w:r w:rsidR="00AA4A6A" w:rsidRPr="002B720B">
        <w:rPr>
          <w:rFonts w:eastAsia="Calibri" w:cs="Arial"/>
          <w:szCs w:val="22"/>
          <w:lang w:eastAsia="en-US"/>
        </w:rPr>
        <w:t xml:space="preserve"> </w:t>
      </w:r>
      <w:r w:rsidR="00CB730B">
        <w:rPr>
          <w:rFonts w:eastAsia="Cambria" w:cs="Arial"/>
          <w:bCs/>
          <w:szCs w:val="22"/>
          <w:lang w:eastAsia="fr-FR"/>
        </w:rPr>
        <w:t xml:space="preserve">Projekte zu, die in Absprache mit den tunesischen und </w:t>
      </w:r>
      <w:r w:rsidR="006129A7">
        <w:rPr>
          <w:rFonts w:eastAsia="Cambria" w:cs="Arial"/>
          <w:bCs/>
          <w:szCs w:val="22"/>
          <w:lang w:eastAsia="fr-FR"/>
        </w:rPr>
        <w:t>ägy</w:t>
      </w:r>
      <w:r w:rsidR="006129A7">
        <w:rPr>
          <w:rFonts w:eastAsia="Cambria" w:cs="Arial"/>
          <w:bCs/>
          <w:szCs w:val="22"/>
          <w:lang w:eastAsia="fr-FR"/>
        </w:rPr>
        <w:t>p</w:t>
      </w:r>
      <w:r w:rsidR="006129A7">
        <w:rPr>
          <w:rFonts w:eastAsia="Cambria" w:cs="Arial"/>
          <w:bCs/>
          <w:szCs w:val="22"/>
          <w:lang w:eastAsia="fr-FR"/>
        </w:rPr>
        <w:t>tischen</w:t>
      </w:r>
      <w:r w:rsidR="00CB730B">
        <w:rPr>
          <w:rFonts w:eastAsia="Cambria" w:cs="Arial"/>
          <w:bCs/>
          <w:szCs w:val="22"/>
          <w:lang w:eastAsia="fr-FR"/>
        </w:rPr>
        <w:t xml:space="preserve"> Partnern aktuell entwickelt werden.</w:t>
      </w:r>
    </w:p>
    <w:p w:rsidR="009C07B4" w:rsidRPr="002B720B" w:rsidRDefault="00C93429" w:rsidP="009C07B4">
      <w:pPr>
        <w:spacing w:after="120"/>
        <w:jc w:val="both"/>
        <w:rPr>
          <w:rFonts w:eastAsia="Calibri" w:cs="Arial"/>
          <w:szCs w:val="22"/>
          <w:lang w:eastAsia="en-US"/>
        </w:rPr>
      </w:pPr>
      <w:r w:rsidRPr="002B720B">
        <w:rPr>
          <w:rFonts w:eastAsia="Cambria" w:cs="Arial"/>
          <w:bCs/>
          <w:szCs w:val="22"/>
          <w:lang w:eastAsia="fr-FR"/>
        </w:rPr>
        <w:t>Nach einer ersten Auftaktfortbildung zu EE im Industriesektor wurden im Berichtszeitraum zwei  sektorspezifische</w:t>
      </w:r>
      <w:r>
        <w:rPr>
          <w:rFonts w:eastAsia="Cambria" w:cs="Arial"/>
          <w:bCs/>
          <w:szCs w:val="22"/>
          <w:lang w:eastAsia="fr-FR"/>
        </w:rPr>
        <w:t xml:space="preserve"> </w:t>
      </w:r>
      <w:r w:rsidRPr="002B720B">
        <w:rPr>
          <w:rFonts w:eastAsia="Cambria" w:cs="Arial"/>
          <w:bCs/>
          <w:szCs w:val="22"/>
          <w:lang w:eastAsia="fr-FR"/>
        </w:rPr>
        <w:t>Vertiefungsfortbildungen durchgeführt: zu „EE in der Bauwirtschaft“ in Casablanca im November 2015 (in Zusammenarbeit mit</w:t>
      </w:r>
      <w:r w:rsidR="004F12F6">
        <w:rPr>
          <w:rFonts w:eastAsia="Cambria" w:cs="Arial"/>
          <w:bCs/>
          <w:szCs w:val="22"/>
          <w:lang w:eastAsia="fr-FR"/>
        </w:rPr>
        <w:t xml:space="preserve"> dem TZ-Vorhaben</w:t>
      </w:r>
      <w:r w:rsidRPr="002B720B">
        <w:rPr>
          <w:rFonts w:eastAsia="Cambria" w:cs="Arial"/>
          <w:bCs/>
          <w:szCs w:val="22"/>
          <w:lang w:eastAsia="fr-FR"/>
        </w:rPr>
        <w:t xml:space="preserve"> DKTI</w:t>
      </w:r>
      <w:r w:rsidR="000E6EAB">
        <w:rPr>
          <w:rFonts w:eastAsia="Cambria" w:cs="Arial"/>
          <w:bCs/>
          <w:szCs w:val="22"/>
          <w:lang w:eastAsia="fr-FR"/>
        </w:rPr>
        <w:t xml:space="preserve"> I</w:t>
      </w:r>
      <w:r w:rsidR="003E28B7">
        <w:rPr>
          <w:rFonts w:eastAsia="Cambria" w:cs="Arial"/>
          <w:bCs/>
          <w:szCs w:val="22"/>
          <w:lang w:eastAsia="fr-FR"/>
        </w:rPr>
        <w:t xml:space="preserve"> </w:t>
      </w:r>
      <w:r w:rsidR="000E6EAB">
        <w:rPr>
          <w:rFonts w:eastAsia="Cambria" w:cs="Arial"/>
          <w:bCs/>
          <w:szCs w:val="22"/>
          <w:lang w:eastAsia="fr-FR"/>
        </w:rPr>
        <w:t>(</w:t>
      </w:r>
      <w:r w:rsidR="004F12F6">
        <w:rPr>
          <w:rFonts w:eastAsia="Cambria" w:cs="Arial"/>
          <w:bCs/>
          <w:szCs w:val="22"/>
          <w:lang w:eastAsia="fr-FR"/>
        </w:rPr>
        <w:t xml:space="preserve">PN : </w:t>
      </w:r>
      <w:r w:rsidR="000E6EAB">
        <w:rPr>
          <w:rFonts w:eastAsia="Cambria" w:cs="Arial"/>
          <w:bCs/>
          <w:szCs w:val="22"/>
          <w:lang w:eastAsia="fr-FR"/>
        </w:rPr>
        <w:t>20</w:t>
      </w:r>
      <w:r w:rsidR="003E28B7" w:rsidRPr="003E28B7">
        <w:rPr>
          <w:rFonts w:eastAsia="Cambria" w:cs="Arial"/>
          <w:bCs/>
          <w:szCs w:val="22"/>
          <w:lang w:eastAsia="fr-FR"/>
        </w:rPr>
        <w:t>12.9039.4</w:t>
      </w:r>
      <w:r w:rsidR="000E6EAB">
        <w:rPr>
          <w:rFonts w:eastAsia="Cambria" w:cs="Arial"/>
          <w:bCs/>
          <w:szCs w:val="22"/>
          <w:lang w:eastAsia="fr-FR"/>
        </w:rPr>
        <w:t>)</w:t>
      </w:r>
      <w:r w:rsidR="004F12F6">
        <w:rPr>
          <w:rFonts w:eastAsia="Cambria" w:cs="Arial"/>
          <w:bCs/>
          <w:szCs w:val="22"/>
          <w:lang w:eastAsia="fr-FR"/>
        </w:rPr>
        <w:t xml:space="preserve"> </w:t>
      </w:r>
      <w:r w:rsidRPr="002B720B">
        <w:rPr>
          <w:rFonts w:eastAsia="Cambria" w:cs="Arial"/>
          <w:bCs/>
          <w:szCs w:val="22"/>
          <w:lang w:eastAsia="fr-FR"/>
        </w:rPr>
        <w:t xml:space="preserve">und dem Cluster EMC); sowie zu „EE in der </w:t>
      </w:r>
      <w:r w:rsidRPr="002B720B">
        <w:rPr>
          <w:rFonts w:eastAsia="Calibri" w:cs="Arial"/>
          <w:szCs w:val="22"/>
          <w:lang w:eastAsia="en-US"/>
        </w:rPr>
        <w:t>Nahrungsmittelindustrie“ im N</w:t>
      </w:r>
      <w:r w:rsidRPr="002B720B">
        <w:rPr>
          <w:rFonts w:eastAsia="Calibri" w:cs="Arial"/>
          <w:szCs w:val="22"/>
          <w:lang w:eastAsia="en-US"/>
        </w:rPr>
        <w:t>o</w:t>
      </w:r>
      <w:r w:rsidRPr="002B720B">
        <w:rPr>
          <w:rFonts w:eastAsia="Calibri" w:cs="Arial"/>
          <w:szCs w:val="22"/>
          <w:lang w:eastAsia="en-US"/>
        </w:rPr>
        <w:t>vember 2015 in Tunis (in Zusammenarbeit mit der AHK</w:t>
      </w:r>
      <w:r>
        <w:rPr>
          <w:rFonts w:eastAsia="Calibri" w:cs="Arial"/>
          <w:szCs w:val="22"/>
          <w:lang w:eastAsia="en-US"/>
        </w:rPr>
        <w:t xml:space="preserve"> Tunesien</w:t>
      </w:r>
      <w:r w:rsidRPr="002B720B">
        <w:rPr>
          <w:rFonts w:eastAsia="Calibri" w:cs="Arial"/>
          <w:szCs w:val="22"/>
          <w:lang w:eastAsia="en-US"/>
        </w:rPr>
        <w:t>)</w:t>
      </w:r>
      <w:r w:rsidRPr="002B720B">
        <w:rPr>
          <w:rFonts w:eastAsia="Cambria" w:cs="Arial"/>
          <w:bCs/>
          <w:szCs w:val="22"/>
          <w:lang w:eastAsia="fr-FR"/>
        </w:rPr>
        <w:t>. Teilnehmer waren jeweils 25 Fach- und Führungskräfte aus branchenspezifischen Unternehmen sowie aus spezial</w:t>
      </w:r>
      <w:r w:rsidRPr="002B720B">
        <w:rPr>
          <w:rFonts w:eastAsia="Cambria" w:cs="Arial"/>
          <w:bCs/>
          <w:szCs w:val="22"/>
          <w:lang w:eastAsia="fr-FR"/>
        </w:rPr>
        <w:t>i</w:t>
      </w:r>
      <w:r w:rsidRPr="002B720B">
        <w:rPr>
          <w:rFonts w:eastAsia="Cambria" w:cs="Arial"/>
          <w:bCs/>
          <w:szCs w:val="22"/>
          <w:lang w:eastAsia="fr-FR"/>
        </w:rPr>
        <w:t xml:space="preserve">sierten Consulting-Betrieben. Auch diesmal überstieg das Interesse die Erwartungen. Die Ergebnisse dieser Fortbildungen (fertig ausgearbeitete Trainingsprogramme und </w:t>
      </w:r>
      <w:r w:rsidR="000E6EAB">
        <w:rPr>
          <w:rFonts w:eastAsia="Cambria" w:cs="Arial"/>
          <w:bCs/>
          <w:szCs w:val="22"/>
          <w:lang w:eastAsia="fr-FR"/>
        </w:rPr>
        <w:t>-</w:t>
      </w:r>
      <w:r w:rsidRPr="002B720B">
        <w:rPr>
          <w:rFonts w:eastAsia="Cambria" w:cs="Arial"/>
          <w:bCs/>
          <w:szCs w:val="22"/>
          <w:lang w:eastAsia="fr-FR"/>
        </w:rPr>
        <w:t>materialien inklusive Pilotauditierungen sowie ein Handbuch zu EE in der Industrie auf Französisch) werden aktuell genutzt, um CEMP genanntes, 5-tägiges Überblickstraining zu EE in der I</w:t>
      </w:r>
      <w:r w:rsidRPr="002B720B">
        <w:rPr>
          <w:rFonts w:eastAsia="Cambria" w:cs="Arial"/>
          <w:bCs/>
          <w:szCs w:val="22"/>
          <w:lang w:eastAsia="fr-FR"/>
        </w:rPr>
        <w:t>n</w:t>
      </w:r>
      <w:r w:rsidRPr="002B720B">
        <w:rPr>
          <w:rFonts w:eastAsia="Cambria" w:cs="Arial"/>
          <w:bCs/>
          <w:szCs w:val="22"/>
          <w:lang w:eastAsia="fr-FR"/>
        </w:rPr>
        <w:t>dustrie zu entwickeln. Dies folgt einer offiziellen Anfrage des ägyptischen Energieministers und der Arabischen Liga und wird gemeinsam mit RCREEE entwickelt. Es soll in der 2.</w:t>
      </w:r>
      <w:r w:rsidR="000E6EAB">
        <w:rPr>
          <w:rFonts w:eastAsia="Cambria" w:cs="Arial"/>
          <w:bCs/>
          <w:szCs w:val="22"/>
          <w:lang w:eastAsia="fr-FR"/>
        </w:rPr>
        <w:t xml:space="preserve"> </w:t>
      </w:r>
      <w:r w:rsidRPr="002B720B">
        <w:rPr>
          <w:rFonts w:eastAsia="Cambria" w:cs="Arial"/>
          <w:bCs/>
          <w:szCs w:val="22"/>
          <w:lang w:eastAsia="fr-FR"/>
        </w:rPr>
        <w:t>Ja</w:t>
      </w:r>
      <w:r w:rsidRPr="002B720B">
        <w:rPr>
          <w:rFonts w:eastAsia="Cambria" w:cs="Arial"/>
          <w:bCs/>
          <w:szCs w:val="22"/>
          <w:lang w:eastAsia="fr-FR"/>
        </w:rPr>
        <w:t>h</w:t>
      </w:r>
      <w:r w:rsidRPr="002B720B">
        <w:rPr>
          <w:rFonts w:eastAsia="Cambria" w:cs="Arial"/>
          <w:bCs/>
          <w:szCs w:val="22"/>
          <w:lang w:eastAsia="fr-FR"/>
        </w:rPr>
        <w:t>reshälfte in Ägypten pilotiert werden und – bei positiver Evaluierung – als verpflichtend im neuen Energiegesetz verankert und mit Hilfe der LAS im MENA Raum verbreitet werden.</w:t>
      </w:r>
    </w:p>
    <w:p w:rsidR="009C07B4" w:rsidRPr="002B720B" w:rsidRDefault="00C93429" w:rsidP="009C07B4">
      <w:pPr>
        <w:spacing w:after="120"/>
        <w:jc w:val="both"/>
        <w:rPr>
          <w:rFonts w:eastAsia="Calibri" w:cs="Arial"/>
          <w:szCs w:val="22"/>
          <w:lang w:eastAsia="en-US"/>
        </w:rPr>
      </w:pPr>
      <w:r w:rsidRPr="002B720B">
        <w:rPr>
          <w:rFonts w:eastAsia="Calibri" w:cs="Arial"/>
          <w:szCs w:val="22"/>
          <w:lang w:eastAsia="en-US"/>
        </w:rPr>
        <w:t>Parallel hierzu wird mit den zuständigen tunesischen Partnern (zunächst vor allem ANME, MFPE, CENAFIFF, dem Unternehmerdachverband sowie den Berufsverbänden der Ingen</w:t>
      </w:r>
      <w:r w:rsidRPr="002B720B">
        <w:rPr>
          <w:rFonts w:eastAsia="Calibri" w:cs="Arial"/>
          <w:szCs w:val="22"/>
          <w:lang w:eastAsia="en-US"/>
        </w:rPr>
        <w:t>i</w:t>
      </w:r>
      <w:r w:rsidRPr="002B720B">
        <w:rPr>
          <w:rFonts w:eastAsia="Calibri" w:cs="Arial"/>
          <w:szCs w:val="22"/>
          <w:lang w:eastAsia="en-US"/>
        </w:rPr>
        <w:t xml:space="preserve">eure und Architekten) an der Entwicklung der nächsten Stufe gearbeitet, nämlich an einem ca. 3-monatigen Aufbautraining zu EE im Industrie-, Gebäude- und Transportsektor, welcher mit einer Zertifizierung als </w:t>
      </w:r>
      <w:r>
        <w:rPr>
          <w:rFonts w:eastAsia="Calibri" w:cs="Arial"/>
          <w:szCs w:val="22"/>
          <w:lang w:eastAsia="en-US"/>
        </w:rPr>
        <w:t>C3</w:t>
      </w:r>
      <w:r w:rsidRPr="002B720B">
        <w:rPr>
          <w:rFonts w:eastAsia="Calibri" w:cs="Arial"/>
          <w:szCs w:val="22"/>
          <w:lang w:eastAsia="en-US"/>
        </w:rPr>
        <w:t>E enden, bis Mitte 2107 in Tunesien pilotiert und – bei positiver Evaluierung -</w:t>
      </w:r>
      <w:r w:rsidR="00956327">
        <w:rPr>
          <w:rFonts w:eastAsia="Calibri" w:cs="Arial"/>
          <w:szCs w:val="22"/>
          <w:lang w:eastAsia="en-US"/>
        </w:rPr>
        <w:t>-</w:t>
      </w:r>
      <w:r w:rsidRPr="002B720B">
        <w:rPr>
          <w:rFonts w:eastAsia="Calibri" w:cs="Arial"/>
          <w:szCs w:val="22"/>
          <w:lang w:eastAsia="en-US"/>
        </w:rPr>
        <w:t xml:space="preserve"> ebenfalls in der dortigen Gesetzgebung verankert und auf regionaler Ebene vertrieben werden soll. </w:t>
      </w:r>
    </w:p>
    <w:p w:rsidR="009C07B4" w:rsidRPr="002B720B" w:rsidRDefault="00C93429" w:rsidP="009C07B4">
      <w:pPr>
        <w:spacing w:after="120"/>
        <w:jc w:val="both"/>
        <w:rPr>
          <w:rFonts w:eastAsia="Calibri" w:cs="Arial"/>
          <w:szCs w:val="22"/>
          <w:lang w:eastAsia="en-US"/>
        </w:rPr>
      </w:pPr>
      <w:r w:rsidRPr="002B720B">
        <w:rPr>
          <w:rFonts w:eastAsia="Calibri" w:cs="Arial"/>
          <w:szCs w:val="22"/>
          <w:lang w:eastAsia="en-US"/>
        </w:rPr>
        <w:t xml:space="preserve">Analog hierzu wurde in Marokko gemeinsam mit </w:t>
      </w:r>
      <w:r w:rsidR="004F12F6" w:rsidRPr="004F12F6">
        <w:rPr>
          <w:rFonts w:eastAsia="Calibri" w:cs="Arial"/>
          <w:szCs w:val="22"/>
          <w:lang w:eastAsia="en-US"/>
        </w:rPr>
        <w:t xml:space="preserve">dem TZ-Vorhaben </w:t>
      </w:r>
      <w:r w:rsidR="008D3CF5">
        <w:rPr>
          <w:rFonts w:eastAsia="Calibri" w:cs="Arial"/>
          <w:szCs w:val="22"/>
          <w:lang w:eastAsia="en-US"/>
        </w:rPr>
        <w:t xml:space="preserve">DKTI </w:t>
      </w:r>
      <w:r w:rsidR="000E6EAB">
        <w:rPr>
          <w:rFonts w:eastAsia="Calibri" w:cs="Arial"/>
          <w:szCs w:val="22"/>
          <w:lang w:eastAsia="en-US"/>
        </w:rPr>
        <w:t>I</w:t>
      </w:r>
      <w:r w:rsidR="003E28B7" w:rsidRPr="003E28B7">
        <w:rPr>
          <w:rFonts w:eastAsia="Calibri" w:cs="Arial"/>
          <w:szCs w:val="22"/>
          <w:lang w:eastAsia="en-US"/>
        </w:rPr>
        <w:t xml:space="preserve"> (PN : </w:t>
      </w:r>
      <w:r w:rsidR="000E6EAB">
        <w:rPr>
          <w:rFonts w:eastAsia="Calibri" w:cs="Arial"/>
          <w:szCs w:val="22"/>
          <w:lang w:eastAsia="en-US"/>
        </w:rPr>
        <w:t>20</w:t>
      </w:r>
      <w:r w:rsidR="003E28B7" w:rsidRPr="003E28B7">
        <w:rPr>
          <w:rFonts w:eastAsia="Calibri" w:cs="Arial"/>
          <w:szCs w:val="22"/>
          <w:lang w:eastAsia="en-US"/>
        </w:rPr>
        <w:t xml:space="preserve">12.9039.4) </w:t>
      </w:r>
      <w:r w:rsidRPr="002B720B">
        <w:rPr>
          <w:rFonts w:eastAsia="Calibri" w:cs="Arial"/>
          <w:szCs w:val="22"/>
          <w:lang w:eastAsia="en-US"/>
        </w:rPr>
        <w:t>und den zuständigen marokkanischen Partnern vereinbart, angepasste und i</w:t>
      </w:r>
      <w:r w:rsidRPr="002B720B">
        <w:rPr>
          <w:rFonts w:eastAsia="Calibri" w:cs="Arial"/>
          <w:szCs w:val="22"/>
          <w:lang w:eastAsia="en-US"/>
        </w:rPr>
        <w:t>n</w:t>
      </w:r>
      <w:r w:rsidRPr="002B720B">
        <w:rPr>
          <w:rFonts w:eastAsia="Calibri" w:cs="Arial"/>
          <w:szCs w:val="22"/>
          <w:lang w:eastAsia="en-US"/>
        </w:rPr>
        <w:t>ternational kompatible Qualitätssysteme und</w:t>
      </w:r>
      <w:r w:rsidR="00956327">
        <w:rPr>
          <w:rFonts w:eastAsia="Calibri" w:cs="Arial"/>
          <w:szCs w:val="22"/>
          <w:lang w:eastAsia="en-US"/>
        </w:rPr>
        <w:t xml:space="preserve"> -kontrollmechanismen für RE/EE-</w:t>
      </w:r>
      <w:r w:rsidRPr="002B720B">
        <w:rPr>
          <w:rFonts w:eastAsia="Calibri" w:cs="Arial"/>
          <w:szCs w:val="22"/>
          <w:lang w:eastAsia="en-US"/>
        </w:rPr>
        <w:t xml:space="preserve">Aus- und Fortbildungsprogramme (ggf. auch –institutionen) zu erarbeiten und zu erproben. </w:t>
      </w:r>
    </w:p>
    <w:p w:rsidR="009C07B4" w:rsidRPr="002B720B" w:rsidRDefault="00C93429" w:rsidP="009C07B4">
      <w:pPr>
        <w:spacing w:after="120"/>
        <w:jc w:val="both"/>
        <w:rPr>
          <w:rFonts w:eastAsia="Calibri" w:cs="Arial"/>
          <w:szCs w:val="22"/>
          <w:lang w:eastAsia="en-US"/>
        </w:rPr>
      </w:pPr>
      <w:r w:rsidRPr="002B720B">
        <w:rPr>
          <w:rFonts w:eastAsia="Cambria" w:cs="Arial"/>
          <w:bCs/>
          <w:szCs w:val="22"/>
          <w:lang w:eastAsia="fr-FR"/>
        </w:rPr>
        <w:t xml:space="preserve">Eine wichtige Grundlage für die letztgenannten Maßnahmen bildet RENACs </w:t>
      </w:r>
      <w:r w:rsidRPr="00051A30">
        <w:rPr>
          <w:rFonts w:eastAsia="Cambria" w:cs="Arial"/>
          <w:bCs/>
          <w:i/>
          <w:szCs w:val="22"/>
          <w:lang w:eastAsia="fr-FR"/>
        </w:rPr>
        <w:t>Good Practice / Benchmarking</w:t>
      </w:r>
      <w:r w:rsidR="000E6EAB">
        <w:rPr>
          <w:rFonts w:eastAsia="Cambria" w:cs="Arial"/>
          <w:bCs/>
          <w:szCs w:val="22"/>
          <w:lang w:eastAsia="fr-FR"/>
        </w:rPr>
        <w:t>-</w:t>
      </w:r>
      <w:r w:rsidRPr="002B720B">
        <w:rPr>
          <w:rFonts w:eastAsia="Cambria" w:cs="Arial"/>
          <w:bCs/>
          <w:szCs w:val="22"/>
          <w:lang w:eastAsia="fr-FR"/>
        </w:rPr>
        <w:t xml:space="preserve">Studie zum Thema „Internationale </w:t>
      </w:r>
      <w:r w:rsidRPr="002B720B">
        <w:rPr>
          <w:rFonts w:eastAsia="Calibri" w:cs="Arial"/>
          <w:szCs w:val="22"/>
          <w:lang w:eastAsia="en-US"/>
        </w:rPr>
        <w:t>Qualitätsstandards und Qualitätssich</w:t>
      </w:r>
      <w:r w:rsidRPr="002B720B">
        <w:rPr>
          <w:rFonts w:eastAsia="Calibri" w:cs="Arial"/>
          <w:szCs w:val="22"/>
          <w:lang w:eastAsia="en-US"/>
        </w:rPr>
        <w:t>e</w:t>
      </w:r>
      <w:r w:rsidRPr="002B720B">
        <w:rPr>
          <w:rFonts w:eastAsia="Calibri" w:cs="Arial"/>
          <w:szCs w:val="22"/>
          <w:lang w:eastAsia="en-US"/>
        </w:rPr>
        <w:t>rungssysteme für RE/EE Aus- und Weiterbildungen“, die das Vorhaben bereits 2014 in Au</w:t>
      </w:r>
      <w:r w:rsidRPr="002B720B">
        <w:rPr>
          <w:rFonts w:eastAsia="Calibri" w:cs="Arial"/>
          <w:szCs w:val="22"/>
          <w:lang w:eastAsia="en-US"/>
        </w:rPr>
        <w:t>f</w:t>
      </w:r>
      <w:r w:rsidRPr="002B720B">
        <w:rPr>
          <w:rFonts w:eastAsia="Calibri" w:cs="Arial"/>
          <w:szCs w:val="22"/>
          <w:lang w:eastAsia="en-US"/>
        </w:rPr>
        <w:t>trag gegeben hatte und die am 02.06.2015 gemeinsam mit RCREEE im Rahmen eines reg</w:t>
      </w:r>
      <w:r w:rsidRPr="002B720B">
        <w:rPr>
          <w:rFonts w:eastAsia="Calibri" w:cs="Arial"/>
          <w:szCs w:val="22"/>
          <w:lang w:eastAsia="en-US"/>
        </w:rPr>
        <w:t>i</w:t>
      </w:r>
      <w:r w:rsidRPr="002B720B">
        <w:rPr>
          <w:rFonts w:eastAsia="Calibri" w:cs="Arial"/>
          <w:szCs w:val="22"/>
          <w:lang w:eastAsia="en-US"/>
        </w:rPr>
        <w:t>onalen Stakeholder</w:t>
      </w:r>
      <w:r w:rsidR="000E6EAB">
        <w:rPr>
          <w:rFonts w:eastAsia="Calibri" w:cs="Arial"/>
          <w:szCs w:val="22"/>
          <w:lang w:eastAsia="en-US"/>
        </w:rPr>
        <w:t>-</w:t>
      </w:r>
      <w:r w:rsidRPr="002B720B">
        <w:rPr>
          <w:rFonts w:eastAsia="Calibri" w:cs="Arial"/>
          <w:szCs w:val="22"/>
          <w:lang w:eastAsia="en-US"/>
        </w:rPr>
        <w:t xml:space="preserve">Workshops in Kairo unter Beteiligung zahlreicher Vertreter arabischer Länder präsentiert wurde. </w:t>
      </w:r>
    </w:p>
    <w:p w:rsidR="009C07B4" w:rsidRPr="002B720B" w:rsidRDefault="00C93429" w:rsidP="009C07B4">
      <w:pPr>
        <w:spacing w:after="120"/>
        <w:jc w:val="both"/>
        <w:rPr>
          <w:rFonts w:eastAsia="Calibri" w:cs="Arial"/>
          <w:szCs w:val="22"/>
          <w:lang w:eastAsia="en-US"/>
        </w:rPr>
      </w:pPr>
      <w:r w:rsidRPr="002B720B">
        <w:rPr>
          <w:rFonts w:eastAsia="Calibri" w:cs="Arial"/>
          <w:szCs w:val="22"/>
          <w:lang w:eastAsia="en-US"/>
        </w:rPr>
        <w:t>Ziel der Zusammenarbeit zwischen RE-ACTIVATE und RCREEE in diesem Bereich ist die Entwicklung eines Regionalansatzes, der gemeinsame länderübergreifende Qualität</w:t>
      </w:r>
      <w:r w:rsidRPr="002B720B">
        <w:rPr>
          <w:rFonts w:eastAsia="Calibri" w:cs="Arial"/>
          <w:szCs w:val="22"/>
          <w:lang w:eastAsia="en-US"/>
        </w:rPr>
        <w:t>s</w:t>
      </w:r>
      <w:r w:rsidRPr="002B720B">
        <w:rPr>
          <w:rFonts w:eastAsia="Calibri" w:cs="Arial"/>
          <w:szCs w:val="22"/>
          <w:lang w:eastAsia="en-US"/>
        </w:rPr>
        <w:t>benchmarks und Zertifizierungsmechanismen für RE/EE Aus- und Fortbildungen definiert, sie mit Hilfe von Pilotmaßnahmen in einzelnen Ländern testet, sie über regionale sowie nat</w:t>
      </w:r>
      <w:r w:rsidRPr="002B720B">
        <w:rPr>
          <w:rFonts w:eastAsia="Calibri" w:cs="Arial"/>
          <w:szCs w:val="22"/>
          <w:lang w:eastAsia="en-US"/>
        </w:rPr>
        <w:t>i</w:t>
      </w:r>
      <w:r w:rsidRPr="002B720B">
        <w:rPr>
          <w:rFonts w:eastAsia="Calibri" w:cs="Arial"/>
          <w:szCs w:val="22"/>
          <w:lang w:eastAsia="en-US"/>
        </w:rPr>
        <w:t>onale Dialogplattformen in den Politikprozess einspeist und dadurch den Wissens- und E</w:t>
      </w:r>
      <w:r w:rsidRPr="002B720B">
        <w:rPr>
          <w:rFonts w:eastAsia="Calibri" w:cs="Arial"/>
          <w:szCs w:val="22"/>
          <w:lang w:eastAsia="en-US"/>
        </w:rPr>
        <w:t>r</w:t>
      </w:r>
      <w:r w:rsidRPr="002B720B">
        <w:rPr>
          <w:rFonts w:eastAsia="Calibri" w:cs="Arial"/>
          <w:szCs w:val="22"/>
          <w:lang w:eastAsia="en-US"/>
        </w:rPr>
        <w:t>fahrungsaustausch sowie auch die aktuell (an)laufenden Reform- und Standardisierungsb</w:t>
      </w:r>
      <w:r w:rsidRPr="002B720B">
        <w:rPr>
          <w:rFonts w:eastAsia="Calibri" w:cs="Arial"/>
          <w:szCs w:val="22"/>
          <w:lang w:eastAsia="en-US"/>
        </w:rPr>
        <w:t>e</w:t>
      </w:r>
      <w:r w:rsidRPr="002B720B">
        <w:rPr>
          <w:rFonts w:eastAsia="Calibri" w:cs="Arial"/>
          <w:szCs w:val="22"/>
          <w:lang w:eastAsia="en-US"/>
        </w:rPr>
        <w:t>mühungen vieler MENA</w:t>
      </w:r>
      <w:r w:rsidR="000E6EAB">
        <w:rPr>
          <w:rFonts w:eastAsia="Calibri" w:cs="Arial"/>
          <w:szCs w:val="22"/>
          <w:lang w:eastAsia="en-US"/>
        </w:rPr>
        <w:t>-</w:t>
      </w:r>
      <w:r w:rsidRPr="002B720B">
        <w:rPr>
          <w:rFonts w:eastAsia="Calibri" w:cs="Arial"/>
          <w:szCs w:val="22"/>
          <w:lang w:eastAsia="en-US"/>
        </w:rPr>
        <w:t>Länder im RE/EE</w:t>
      </w:r>
      <w:r w:rsidR="000E6EAB">
        <w:rPr>
          <w:rFonts w:eastAsia="Calibri" w:cs="Arial"/>
          <w:szCs w:val="22"/>
          <w:lang w:eastAsia="en-US"/>
        </w:rPr>
        <w:t>-</w:t>
      </w:r>
      <w:r w:rsidRPr="002B720B">
        <w:rPr>
          <w:rFonts w:eastAsia="Calibri" w:cs="Arial"/>
          <w:szCs w:val="22"/>
          <w:lang w:eastAsia="en-US"/>
        </w:rPr>
        <w:t>Bildungsbereich unterstützt. Damit soll ein grun</w:t>
      </w:r>
      <w:r w:rsidRPr="002B720B">
        <w:rPr>
          <w:rFonts w:eastAsia="Calibri" w:cs="Arial"/>
          <w:szCs w:val="22"/>
          <w:lang w:eastAsia="en-US"/>
        </w:rPr>
        <w:t>d</w:t>
      </w:r>
      <w:r w:rsidRPr="002B720B">
        <w:rPr>
          <w:rFonts w:eastAsia="Calibri" w:cs="Arial"/>
          <w:szCs w:val="22"/>
          <w:lang w:eastAsia="en-US"/>
        </w:rPr>
        <w:t>legendes Hindernis für die flächendeckende Einführung von RE/EE in MENA überwunden werden: nämlich die fortbestehenden Qualitätsmängel bei der Ausbildung von Arbeitskräften.</w:t>
      </w:r>
    </w:p>
    <w:p w:rsidR="009C07B4" w:rsidRPr="002B720B" w:rsidRDefault="00C93429" w:rsidP="009C07B4">
      <w:pPr>
        <w:spacing w:after="120"/>
        <w:jc w:val="both"/>
        <w:rPr>
          <w:rFonts w:eastAsia="Calibri" w:cs="Arial"/>
          <w:b/>
          <w:szCs w:val="22"/>
          <w:lang w:eastAsia="en-US"/>
        </w:rPr>
      </w:pPr>
      <w:r w:rsidRPr="002B720B">
        <w:rPr>
          <w:rFonts w:eastAsia="Calibri" w:cs="Arial"/>
          <w:b/>
          <w:szCs w:val="22"/>
          <w:lang w:eastAsia="en-US"/>
        </w:rPr>
        <w:t xml:space="preserve">Indikator </w:t>
      </w:r>
      <w:r w:rsidRPr="002B720B">
        <w:rPr>
          <w:rFonts w:cs="Arial"/>
          <w:b/>
          <w:szCs w:val="22"/>
        </w:rPr>
        <w:t xml:space="preserve">4: </w:t>
      </w:r>
      <w:r w:rsidRPr="00604E60">
        <w:rPr>
          <w:rFonts w:cs="Arial"/>
          <w:szCs w:val="22"/>
        </w:rPr>
        <w:t>Der regionale Austausch zu Strategien zur Förderung von Beschäftigung durch RE/EE wird von 70% der Teilnehmer als nützlich für ihre Arbeit bewertet</w:t>
      </w:r>
      <w:r>
        <w:rPr>
          <w:rFonts w:cs="Arial"/>
          <w:b/>
          <w:szCs w:val="22"/>
        </w:rPr>
        <w:t xml:space="preserve"> (Basiswert: 0; Zielwert: 70%, Istwert: </w:t>
      </w:r>
      <w:r w:rsidR="00563A50">
        <w:rPr>
          <w:rFonts w:cs="Arial"/>
          <w:b/>
          <w:szCs w:val="22"/>
        </w:rPr>
        <w:t xml:space="preserve">momentan </w:t>
      </w:r>
      <w:r>
        <w:rPr>
          <w:rFonts w:cs="Arial"/>
          <w:b/>
          <w:szCs w:val="22"/>
        </w:rPr>
        <w:t>zu geringe Rückläufe für aussagekräftige Bewe</w:t>
      </w:r>
      <w:r>
        <w:rPr>
          <w:rFonts w:cs="Arial"/>
          <w:b/>
          <w:szCs w:val="22"/>
        </w:rPr>
        <w:t>r</w:t>
      </w:r>
      <w:r>
        <w:rPr>
          <w:rFonts w:cs="Arial"/>
          <w:b/>
          <w:szCs w:val="22"/>
        </w:rPr>
        <w:t>tung</w:t>
      </w:r>
      <w:r w:rsidR="00563A50">
        <w:rPr>
          <w:rFonts w:cs="Arial"/>
          <w:b/>
          <w:szCs w:val="22"/>
        </w:rPr>
        <w:t>, Befragung von Energieagenturen läuft</w:t>
      </w:r>
      <w:r>
        <w:rPr>
          <w:rFonts w:cs="Arial"/>
          <w:b/>
          <w:szCs w:val="22"/>
        </w:rPr>
        <w:t>)</w:t>
      </w:r>
      <w:r w:rsidRPr="002B720B">
        <w:rPr>
          <w:rFonts w:cs="Arial"/>
          <w:b/>
          <w:szCs w:val="22"/>
        </w:rPr>
        <w:t>.</w:t>
      </w:r>
    </w:p>
    <w:p w:rsidR="009C07B4" w:rsidRPr="002B720B" w:rsidRDefault="00C93429" w:rsidP="009C07B4">
      <w:pPr>
        <w:spacing w:after="120"/>
        <w:jc w:val="both"/>
        <w:rPr>
          <w:rFonts w:eastAsia="Calibri" w:cs="Arial"/>
          <w:szCs w:val="22"/>
          <w:lang w:eastAsia="en-US"/>
        </w:rPr>
      </w:pPr>
      <w:r w:rsidRPr="002B720B">
        <w:rPr>
          <w:rFonts w:eastAsia="Calibri" w:cs="Arial"/>
          <w:szCs w:val="22"/>
          <w:lang w:eastAsia="en-US"/>
        </w:rPr>
        <w:t>Zur Erfüllung dieses Indikators kooperiert das Vorhaben eng mit regionalen und internation</w:t>
      </w:r>
      <w:r w:rsidRPr="002B720B">
        <w:rPr>
          <w:rFonts w:eastAsia="Calibri" w:cs="Arial"/>
          <w:szCs w:val="22"/>
          <w:lang w:eastAsia="en-US"/>
        </w:rPr>
        <w:t>a</w:t>
      </w:r>
      <w:r w:rsidRPr="002B720B">
        <w:rPr>
          <w:rFonts w:eastAsia="Calibri" w:cs="Arial"/>
          <w:szCs w:val="22"/>
          <w:lang w:eastAsia="en-US"/>
        </w:rPr>
        <w:t>len Institutionen und insbesondere RCREEE in Kairo sowie mit IRENA in Abu Dhabi/Bonn.</w:t>
      </w:r>
    </w:p>
    <w:p w:rsidR="009C07B4" w:rsidRPr="00FC1FC8" w:rsidRDefault="006129A7" w:rsidP="00360B5B">
      <w:pPr>
        <w:spacing w:after="120"/>
        <w:jc w:val="both"/>
        <w:rPr>
          <w:rFonts w:eastAsia="Calibri" w:cs="Arial"/>
          <w:szCs w:val="22"/>
          <w:lang w:eastAsia="en-US"/>
        </w:rPr>
      </w:pPr>
      <w:r w:rsidRPr="00360B5B">
        <w:rPr>
          <w:rFonts w:eastAsia="Calibri" w:cs="Arial"/>
          <w:szCs w:val="22"/>
          <w:lang w:eastAsia="en-US"/>
        </w:rPr>
        <w:t>Bereits zu Beginn des Jahres 2015 wurde mit IRENA und RCREEE vereinbart, große inte</w:t>
      </w:r>
      <w:r w:rsidRPr="00360B5B">
        <w:rPr>
          <w:rFonts w:eastAsia="Calibri" w:cs="Arial"/>
          <w:szCs w:val="22"/>
          <w:lang w:eastAsia="en-US"/>
        </w:rPr>
        <w:t>r</w:t>
      </w:r>
      <w:r w:rsidRPr="00360B5B">
        <w:rPr>
          <w:rFonts w:eastAsia="Calibri" w:cs="Arial"/>
          <w:szCs w:val="22"/>
          <w:lang w:eastAsia="en-US"/>
        </w:rPr>
        <w:t>nationale Veranstaltung</w:t>
      </w:r>
      <w:r>
        <w:rPr>
          <w:rFonts w:eastAsia="Calibri" w:cs="Arial"/>
          <w:szCs w:val="22"/>
          <w:lang w:eastAsia="en-US"/>
        </w:rPr>
        <w:t>en fortan zu nutzen, um in deren Rahmen oder anderen</w:t>
      </w:r>
      <w:r w:rsidRPr="00360B5B">
        <w:rPr>
          <w:rFonts w:eastAsia="Calibri" w:cs="Arial"/>
          <w:szCs w:val="22"/>
          <w:lang w:eastAsia="en-US"/>
        </w:rPr>
        <w:t xml:space="preserve"> Rande für die sozio-ökonomi</w:t>
      </w:r>
      <w:r w:rsidRPr="00FC1FC8">
        <w:rPr>
          <w:rFonts w:eastAsia="Calibri" w:cs="Arial"/>
          <w:szCs w:val="22"/>
          <w:lang w:eastAsia="en-US"/>
        </w:rPr>
        <w:t>schen Vorteile von RE/EE zu werben und dadurch deren Breitenwirksa</w:t>
      </w:r>
      <w:r w:rsidRPr="00FC1FC8">
        <w:rPr>
          <w:rFonts w:eastAsia="Calibri" w:cs="Arial"/>
          <w:szCs w:val="22"/>
          <w:lang w:eastAsia="en-US"/>
        </w:rPr>
        <w:t>m</w:t>
      </w:r>
      <w:r w:rsidRPr="00FC1FC8">
        <w:rPr>
          <w:rFonts w:eastAsia="Calibri" w:cs="Arial"/>
          <w:szCs w:val="22"/>
          <w:lang w:eastAsia="en-US"/>
        </w:rPr>
        <w:t xml:space="preserve">keit und Akzeptanz zu stärken. </w:t>
      </w:r>
      <w:r w:rsidR="00C93429" w:rsidRPr="00FC1FC8">
        <w:rPr>
          <w:rFonts w:eastAsia="Calibri" w:cs="Arial"/>
          <w:szCs w:val="22"/>
          <w:lang w:eastAsia="en-US"/>
        </w:rPr>
        <w:t>Die Workshop- bzw. Seminarreihe, die zu diesem Zweck ins Leben gerufen wurde, heißt „</w:t>
      </w:r>
      <w:r w:rsidR="00C93429" w:rsidRPr="00051A30">
        <w:rPr>
          <w:rFonts w:eastAsia="Calibri" w:cs="Arial"/>
          <w:i/>
          <w:szCs w:val="22"/>
          <w:lang w:eastAsia="en-US"/>
        </w:rPr>
        <w:t>RE/EE Benefits</w:t>
      </w:r>
      <w:r w:rsidR="00C93429" w:rsidRPr="00FC1FC8">
        <w:rPr>
          <w:rFonts w:eastAsia="Calibri" w:cs="Arial"/>
          <w:szCs w:val="22"/>
          <w:lang w:eastAsia="en-US"/>
        </w:rPr>
        <w:t xml:space="preserve">“ und fand seitdem </w:t>
      </w:r>
      <w:r w:rsidR="000D1C51">
        <w:rPr>
          <w:rFonts w:eastAsia="Calibri" w:cs="Arial"/>
          <w:szCs w:val="22"/>
          <w:lang w:eastAsia="en-US"/>
        </w:rPr>
        <w:t>mehrere Male</w:t>
      </w:r>
      <w:r w:rsidR="00C93429" w:rsidRPr="00FC1FC8">
        <w:rPr>
          <w:rFonts w:eastAsia="Calibri" w:cs="Arial"/>
          <w:szCs w:val="22"/>
          <w:lang w:eastAsia="en-US"/>
        </w:rPr>
        <w:t xml:space="preserve"> statt: </w:t>
      </w:r>
      <w:r w:rsidR="000D1C51">
        <w:rPr>
          <w:rFonts w:eastAsia="Cambria" w:cs="Arial"/>
          <w:bCs/>
          <w:szCs w:val="22"/>
          <w:lang w:eastAsia="fr-FR"/>
        </w:rPr>
        <w:t xml:space="preserve"> bei </w:t>
      </w:r>
      <w:r w:rsidR="00C93429" w:rsidRPr="00360B5B">
        <w:rPr>
          <w:rFonts w:eastAsia="Cambria" w:cs="Arial"/>
          <w:bCs/>
          <w:szCs w:val="22"/>
          <w:lang w:eastAsia="fr-FR"/>
        </w:rPr>
        <w:t>dem WFES in Abu Dhabi am 20.01.2016, der MENAREC</w:t>
      </w:r>
      <w:r w:rsidR="000D1C51">
        <w:rPr>
          <w:rFonts w:eastAsia="Cambria" w:cs="Arial"/>
          <w:bCs/>
          <w:szCs w:val="22"/>
          <w:lang w:eastAsia="fr-FR"/>
        </w:rPr>
        <w:t>-</w:t>
      </w:r>
      <w:r w:rsidR="00C93429" w:rsidRPr="00360B5B">
        <w:rPr>
          <w:rFonts w:eastAsia="Cambria" w:cs="Arial"/>
          <w:bCs/>
          <w:szCs w:val="22"/>
          <w:lang w:eastAsia="fr-FR"/>
        </w:rPr>
        <w:t xml:space="preserve">Konferenz in Kuwait am 05.04.2016 sowie dem </w:t>
      </w:r>
      <w:r w:rsidR="00C93429" w:rsidRPr="00051A30">
        <w:rPr>
          <w:rFonts w:eastAsia="Cambria" w:cs="Arial"/>
          <w:bCs/>
          <w:i/>
          <w:szCs w:val="22"/>
          <w:lang w:eastAsia="fr-FR"/>
        </w:rPr>
        <w:t>Arab RE/EE Forum</w:t>
      </w:r>
      <w:r w:rsidR="00C93429" w:rsidRPr="00360B5B">
        <w:rPr>
          <w:rFonts w:eastAsia="Cambria" w:cs="Arial"/>
          <w:bCs/>
          <w:szCs w:val="22"/>
          <w:lang w:eastAsia="fr-FR"/>
        </w:rPr>
        <w:t xml:space="preserve"> der Arabischen Liga in Kairo am 31.05.2016. Die Teilnehmer</w:t>
      </w:r>
      <w:r w:rsidR="00C93429" w:rsidRPr="00FC1FC8">
        <w:rPr>
          <w:rFonts w:eastAsia="Cambria" w:cs="Arial"/>
          <w:bCs/>
          <w:szCs w:val="22"/>
          <w:lang w:eastAsia="fr-FR"/>
        </w:rPr>
        <w:t xml:space="preserve"> umfassen stets ein breites Spektrum an Regierungs-, Wirtschafts- und Wissenschaftsvertr</w:t>
      </w:r>
      <w:r w:rsidR="00C93429" w:rsidRPr="00FC1FC8">
        <w:rPr>
          <w:rFonts w:eastAsia="Cambria" w:cs="Arial"/>
          <w:bCs/>
          <w:szCs w:val="22"/>
          <w:lang w:eastAsia="fr-FR"/>
        </w:rPr>
        <w:t>e</w:t>
      </w:r>
      <w:r w:rsidR="00C93429" w:rsidRPr="00FC1FC8">
        <w:rPr>
          <w:rFonts w:eastAsia="Cambria" w:cs="Arial"/>
          <w:bCs/>
          <w:szCs w:val="22"/>
          <w:lang w:eastAsia="fr-FR"/>
        </w:rPr>
        <w:t>ter aus einer großen Zahl von MENA- und Nicht-MENA-Partnerländern.</w:t>
      </w:r>
    </w:p>
    <w:p w:rsidR="009C07B4" w:rsidRPr="002B720B" w:rsidRDefault="00C93429" w:rsidP="009C07B4">
      <w:pPr>
        <w:spacing w:after="120"/>
        <w:jc w:val="both"/>
        <w:rPr>
          <w:rFonts w:eastAsia="Calibri" w:cs="Arial"/>
          <w:szCs w:val="22"/>
          <w:lang w:eastAsia="en-US"/>
        </w:rPr>
      </w:pPr>
      <w:r w:rsidRPr="002B720B">
        <w:rPr>
          <w:rFonts w:eastAsia="Calibri" w:cs="Arial"/>
          <w:szCs w:val="22"/>
          <w:lang w:eastAsia="en-US"/>
        </w:rPr>
        <w:t>Dabei ist zu beachten, dass die Übergänge zwischen regionalen und nationalen Veransta</w:t>
      </w:r>
      <w:r w:rsidRPr="002B720B">
        <w:rPr>
          <w:rFonts w:eastAsia="Calibri" w:cs="Arial"/>
          <w:szCs w:val="22"/>
          <w:lang w:eastAsia="en-US"/>
        </w:rPr>
        <w:t>l</w:t>
      </w:r>
      <w:r w:rsidRPr="002B720B">
        <w:rPr>
          <w:rFonts w:eastAsia="Calibri" w:cs="Arial"/>
          <w:szCs w:val="22"/>
          <w:lang w:eastAsia="en-US"/>
        </w:rPr>
        <w:t>tungen fließend sind. Auch zu den landesspezifischen Veranstaltungen werden gezielt Ve</w:t>
      </w:r>
      <w:r w:rsidRPr="002B720B">
        <w:rPr>
          <w:rFonts w:eastAsia="Calibri" w:cs="Arial"/>
          <w:szCs w:val="22"/>
          <w:lang w:eastAsia="en-US"/>
        </w:rPr>
        <w:t>r</w:t>
      </w:r>
      <w:r w:rsidRPr="002B720B">
        <w:rPr>
          <w:rFonts w:eastAsia="Calibri" w:cs="Arial"/>
          <w:szCs w:val="22"/>
          <w:lang w:eastAsia="en-US"/>
        </w:rPr>
        <w:t xml:space="preserve">treter aus anderen Ländern eingeladen, um so nationale Versäulungen und Verkrustungen auflösen zu helfen und zugleich externe Erfolgsansätze und </w:t>
      </w:r>
      <w:r w:rsidRPr="00051A30">
        <w:rPr>
          <w:rFonts w:eastAsia="Calibri" w:cs="Arial"/>
          <w:i/>
          <w:szCs w:val="22"/>
          <w:lang w:eastAsia="en-US"/>
        </w:rPr>
        <w:t>Good-Practice</w:t>
      </w:r>
      <w:r w:rsidRPr="002B720B">
        <w:rPr>
          <w:rFonts w:eastAsia="Calibri" w:cs="Arial"/>
          <w:szCs w:val="22"/>
          <w:lang w:eastAsia="en-US"/>
        </w:rPr>
        <w:t>-Beispiele in die Diskussion und die Arbeit vor Ort einfließen zu lassen. Gleichzeitig werden regionale Vera</w:t>
      </w:r>
      <w:r w:rsidRPr="002B720B">
        <w:rPr>
          <w:rFonts w:eastAsia="Calibri" w:cs="Arial"/>
          <w:szCs w:val="22"/>
          <w:lang w:eastAsia="en-US"/>
        </w:rPr>
        <w:t>n</w:t>
      </w:r>
      <w:r w:rsidRPr="002B720B">
        <w:rPr>
          <w:rFonts w:eastAsia="Calibri" w:cs="Arial"/>
          <w:szCs w:val="22"/>
          <w:lang w:eastAsia="en-US"/>
        </w:rPr>
        <w:t>staltungen genutzt, um die landesspezifische Arbeit zu begleiten und zu unterstützen. Das zuvor beschriebene Vorgehen im Bereich RE/EE Aus- und Fortbildungsstandards ist ein  Beispiel hierfür.</w:t>
      </w:r>
    </w:p>
    <w:p w:rsidR="009C07B4" w:rsidRPr="002B720B" w:rsidRDefault="00C93429" w:rsidP="009C07B4">
      <w:pPr>
        <w:spacing w:after="120"/>
        <w:jc w:val="both"/>
        <w:rPr>
          <w:rFonts w:eastAsia="Calibri" w:cs="Arial"/>
          <w:szCs w:val="22"/>
          <w:lang w:eastAsia="en-US"/>
        </w:rPr>
      </w:pPr>
      <w:r w:rsidRPr="002B720B">
        <w:rPr>
          <w:rFonts w:eastAsia="Calibri" w:cs="Arial"/>
          <w:szCs w:val="22"/>
          <w:lang w:eastAsia="en-US"/>
        </w:rPr>
        <w:t>Auch erste Publikationen wurden gemeinsam mit RCREEE erstellt und vertrieben: den Au</w:t>
      </w:r>
      <w:r w:rsidRPr="002B720B">
        <w:rPr>
          <w:rFonts w:eastAsia="Calibri" w:cs="Arial"/>
          <w:szCs w:val="22"/>
          <w:lang w:eastAsia="en-US"/>
        </w:rPr>
        <w:t>f</w:t>
      </w:r>
      <w:r w:rsidRPr="002B720B">
        <w:rPr>
          <w:rFonts w:eastAsia="Calibri" w:cs="Arial"/>
          <w:szCs w:val="22"/>
          <w:lang w:eastAsia="en-US"/>
        </w:rPr>
        <w:t xml:space="preserve">takt machte die </w:t>
      </w:r>
      <w:r w:rsidR="006129A7" w:rsidRPr="002B720B">
        <w:rPr>
          <w:rFonts w:eastAsia="Calibri" w:cs="Arial"/>
          <w:szCs w:val="22"/>
          <w:lang w:eastAsia="en-US"/>
        </w:rPr>
        <w:t>zuvor genannte</w:t>
      </w:r>
      <w:r w:rsidRPr="002B720B">
        <w:rPr>
          <w:rFonts w:eastAsia="Calibri" w:cs="Arial"/>
          <w:szCs w:val="22"/>
          <w:lang w:eastAsia="en-US"/>
        </w:rPr>
        <w:t xml:space="preserve"> Studie zu „Internationalen Qualitätsstandards und Qualität</w:t>
      </w:r>
      <w:r w:rsidRPr="002B720B">
        <w:rPr>
          <w:rFonts w:eastAsia="Calibri" w:cs="Arial"/>
          <w:szCs w:val="22"/>
          <w:lang w:eastAsia="en-US"/>
        </w:rPr>
        <w:t>s</w:t>
      </w:r>
      <w:r w:rsidRPr="002B720B">
        <w:rPr>
          <w:rFonts w:eastAsia="Calibri" w:cs="Arial"/>
          <w:szCs w:val="22"/>
          <w:lang w:eastAsia="en-US"/>
        </w:rPr>
        <w:t xml:space="preserve">sicherungssystemen für RE/EE Trainings“; gefolgt von einem </w:t>
      </w:r>
      <w:r w:rsidRPr="00051A30">
        <w:rPr>
          <w:rFonts w:eastAsia="Calibri" w:cs="Arial"/>
          <w:i/>
          <w:szCs w:val="22"/>
          <w:lang w:eastAsia="en-US"/>
        </w:rPr>
        <w:t>Country Outlook Chapter</w:t>
      </w:r>
      <w:r w:rsidRPr="002B720B">
        <w:rPr>
          <w:rFonts w:eastAsia="Calibri" w:cs="Arial"/>
          <w:szCs w:val="22"/>
          <w:lang w:eastAsia="en-US"/>
        </w:rPr>
        <w:t xml:space="preserve"> T</w:t>
      </w:r>
      <w:r w:rsidRPr="002B720B">
        <w:rPr>
          <w:rFonts w:eastAsia="Calibri" w:cs="Arial"/>
          <w:szCs w:val="22"/>
          <w:lang w:eastAsia="en-US"/>
        </w:rPr>
        <w:t>u</w:t>
      </w:r>
      <w:r w:rsidRPr="002B720B">
        <w:rPr>
          <w:rFonts w:eastAsia="Calibri" w:cs="Arial"/>
          <w:szCs w:val="22"/>
          <w:lang w:eastAsia="en-US"/>
        </w:rPr>
        <w:t>nesien im Rahmen des AFEX 2016 (basierend auf den Ergebnissen der Länderstudie Tun</w:t>
      </w:r>
      <w:r w:rsidRPr="002B720B">
        <w:rPr>
          <w:rFonts w:eastAsia="Calibri" w:cs="Arial"/>
          <w:szCs w:val="22"/>
          <w:lang w:eastAsia="en-US"/>
        </w:rPr>
        <w:t>e</w:t>
      </w:r>
      <w:r w:rsidRPr="002B720B">
        <w:rPr>
          <w:rFonts w:eastAsia="Calibri" w:cs="Arial"/>
          <w:szCs w:val="22"/>
          <w:lang w:eastAsia="en-US"/>
        </w:rPr>
        <w:t xml:space="preserve">sien). </w:t>
      </w:r>
    </w:p>
    <w:p w:rsidR="009C07B4" w:rsidRPr="002B720B" w:rsidRDefault="00C93429" w:rsidP="009C07B4">
      <w:pPr>
        <w:pStyle w:val="berschrift2"/>
        <w:jc w:val="both"/>
        <w:rPr>
          <w:b/>
          <w:i/>
        </w:rPr>
      </w:pPr>
      <w:bookmarkStart w:id="14" w:name="_Toc460339713"/>
      <w:r w:rsidRPr="002B720B">
        <w:rPr>
          <w:b/>
          <w:i/>
        </w:rPr>
        <w:t>B.2.4</w:t>
      </w:r>
      <w:r w:rsidRPr="002B720B">
        <w:rPr>
          <w:b/>
          <w:i/>
        </w:rPr>
        <w:tab/>
        <w:t>Wirkungen</w:t>
      </w:r>
      <w:bookmarkEnd w:id="14"/>
    </w:p>
    <w:p w:rsidR="009C07B4" w:rsidRPr="002B720B" w:rsidRDefault="00C93429" w:rsidP="009C07B4">
      <w:pPr>
        <w:spacing w:after="120"/>
        <w:jc w:val="both"/>
        <w:rPr>
          <w:rFonts w:eastAsia="Calibri" w:cs="Arial"/>
          <w:szCs w:val="22"/>
          <w:lang w:eastAsia="en-US"/>
        </w:rPr>
      </w:pPr>
      <w:r>
        <w:rPr>
          <w:rFonts w:eastAsia="Calibri" w:cs="Arial"/>
          <w:szCs w:val="22"/>
          <w:lang w:eastAsia="en-US"/>
        </w:rPr>
        <w:t>D</w:t>
      </w:r>
      <w:r w:rsidRPr="002B720B">
        <w:rPr>
          <w:rFonts w:eastAsia="Calibri" w:cs="Arial"/>
          <w:szCs w:val="22"/>
          <w:lang w:eastAsia="en-US"/>
        </w:rPr>
        <w:t xml:space="preserve">as Vorhaben </w:t>
      </w:r>
      <w:r>
        <w:rPr>
          <w:rFonts w:eastAsia="Calibri" w:cs="Arial"/>
          <w:szCs w:val="22"/>
          <w:lang w:eastAsia="en-US"/>
        </w:rPr>
        <w:t xml:space="preserve">hat sich </w:t>
      </w:r>
      <w:r w:rsidRPr="002B720B">
        <w:rPr>
          <w:rFonts w:eastAsia="Calibri" w:cs="Arial"/>
          <w:szCs w:val="22"/>
          <w:lang w:eastAsia="en-US"/>
        </w:rPr>
        <w:t>im Berichtszeitraum gut weiterentwickelt</w:t>
      </w:r>
      <w:r>
        <w:rPr>
          <w:rFonts w:eastAsia="Calibri" w:cs="Arial"/>
          <w:szCs w:val="22"/>
          <w:lang w:eastAsia="en-US"/>
        </w:rPr>
        <w:t>, die Zusammenarbeit mit Partnern und Kollegen sowie die Planung und Umsetzung der Maßnahmen läuft generell re</w:t>
      </w:r>
      <w:r>
        <w:rPr>
          <w:rFonts w:eastAsia="Calibri" w:cs="Arial"/>
          <w:szCs w:val="22"/>
          <w:lang w:eastAsia="en-US"/>
        </w:rPr>
        <w:t>i</w:t>
      </w:r>
      <w:r>
        <w:rPr>
          <w:rFonts w:eastAsia="Calibri" w:cs="Arial"/>
          <w:szCs w:val="22"/>
          <w:lang w:eastAsia="en-US"/>
        </w:rPr>
        <w:t>bungslos, die Ergebnisse entsprechen größtenteils den Erwartungen und Vorgaben (auch wenn die Qualität</w:t>
      </w:r>
      <w:r w:rsidR="00360B5B">
        <w:rPr>
          <w:rFonts w:eastAsia="Calibri" w:cs="Arial"/>
          <w:szCs w:val="22"/>
          <w:lang w:eastAsia="en-US"/>
        </w:rPr>
        <w:t>, wie oben bereits beschrieben,</w:t>
      </w:r>
      <w:r>
        <w:rPr>
          <w:rFonts w:eastAsia="Calibri" w:cs="Arial"/>
          <w:szCs w:val="22"/>
          <w:lang w:eastAsia="en-US"/>
        </w:rPr>
        <w:t xml:space="preserve"> mitunter durch die schlechte Datenlage und das geringe Expertenangebot in projektrelevanten Themenbereichen beeinträchtigt wird), während die Messung der Wirkungen weiterhin „</w:t>
      </w:r>
      <w:r w:rsidRPr="00051A30">
        <w:rPr>
          <w:rFonts w:eastAsia="Calibri" w:cs="Arial"/>
          <w:i/>
          <w:szCs w:val="22"/>
          <w:lang w:eastAsia="en-US"/>
        </w:rPr>
        <w:t>work in progress</w:t>
      </w:r>
      <w:r>
        <w:rPr>
          <w:rFonts w:eastAsia="Calibri" w:cs="Arial"/>
          <w:szCs w:val="22"/>
          <w:lang w:eastAsia="en-US"/>
        </w:rPr>
        <w:t>“ ist und noch bis Ende des Projekts andauern wird</w:t>
      </w:r>
      <w:r w:rsidR="00956327">
        <w:rPr>
          <w:rFonts w:eastAsia="Calibri" w:cs="Arial"/>
          <w:szCs w:val="22"/>
          <w:lang w:eastAsia="en-US"/>
        </w:rPr>
        <w:t>.</w:t>
      </w:r>
    </w:p>
    <w:p w:rsidR="009C07B4" w:rsidRPr="002B720B" w:rsidRDefault="00C93429" w:rsidP="009C07B4">
      <w:pPr>
        <w:autoSpaceDE w:val="0"/>
        <w:autoSpaceDN w:val="0"/>
        <w:adjustRightInd w:val="0"/>
        <w:spacing w:after="120"/>
        <w:jc w:val="both"/>
        <w:rPr>
          <w:rFonts w:cs="Arial"/>
          <w:szCs w:val="22"/>
        </w:rPr>
      </w:pPr>
      <w:r w:rsidRPr="002B720B">
        <w:rPr>
          <w:rFonts w:cs="Arial"/>
          <w:szCs w:val="22"/>
        </w:rPr>
        <w:t xml:space="preserve">Ein Großteil </w:t>
      </w:r>
      <w:r>
        <w:rPr>
          <w:rFonts w:cs="Arial"/>
          <w:szCs w:val="22"/>
        </w:rPr>
        <w:t>der</w:t>
      </w:r>
      <w:r w:rsidRPr="002B720B">
        <w:rPr>
          <w:rFonts w:cs="Arial"/>
          <w:szCs w:val="22"/>
        </w:rPr>
        <w:t xml:space="preserve"> Studie</w:t>
      </w:r>
      <w:r w:rsidR="000D1C51">
        <w:rPr>
          <w:rFonts w:cs="Arial"/>
          <w:szCs w:val="22"/>
        </w:rPr>
        <w:t>n</w:t>
      </w:r>
      <w:r>
        <w:rPr>
          <w:rFonts w:cs="Arial"/>
          <w:szCs w:val="22"/>
        </w:rPr>
        <w:t>, an denen das Vorhaben mitgewirkt hat,</w:t>
      </w:r>
      <w:r w:rsidRPr="002B720B">
        <w:rPr>
          <w:rFonts w:cs="Arial"/>
          <w:szCs w:val="22"/>
        </w:rPr>
        <w:t xml:space="preserve"> bildete die Grundlage für die Durchführung von Stakeholderdialogen zwecks Identifizierung von Markt- und Beschäft</w:t>
      </w:r>
      <w:r w:rsidRPr="002B720B">
        <w:rPr>
          <w:rFonts w:cs="Arial"/>
          <w:szCs w:val="22"/>
        </w:rPr>
        <w:t>i</w:t>
      </w:r>
      <w:r w:rsidRPr="002B720B">
        <w:rPr>
          <w:rFonts w:cs="Arial"/>
          <w:szCs w:val="22"/>
        </w:rPr>
        <w:t xml:space="preserve">gungspotentialen und </w:t>
      </w:r>
      <w:r w:rsidR="000D1C51">
        <w:rPr>
          <w:rFonts w:cs="Arial"/>
          <w:szCs w:val="22"/>
        </w:rPr>
        <w:t>-</w:t>
      </w:r>
      <w:r w:rsidRPr="002B720B">
        <w:rPr>
          <w:rFonts w:cs="Arial"/>
          <w:szCs w:val="22"/>
        </w:rPr>
        <w:t>opportunitäten: Insgesamt 10 Stakeholderdialoge sind bislang gesta</w:t>
      </w:r>
      <w:r w:rsidRPr="002B720B">
        <w:rPr>
          <w:rFonts w:cs="Arial"/>
          <w:szCs w:val="22"/>
        </w:rPr>
        <w:t>r</w:t>
      </w:r>
      <w:r w:rsidRPr="002B720B">
        <w:rPr>
          <w:rFonts w:cs="Arial"/>
          <w:szCs w:val="22"/>
        </w:rPr>
        <w:t>tet worden, 5 davon mit politisch bzw. rechtlich-regulatorisch bedeutsamen Konsequenzen: 2 führen mit Unterstützung von RE-ACTIVATE zu einer beschäftigungsrelevanten Weiteren</w:t>
      </w:r>
      <w:r w:rsidRPr="002B720B">
        <w:rPr>
          <w:rFonts w:cs="Arial"/>
          <w:szCs w:val="22"/>
        </w:rPr>
        <w:t>t</w:t>
      </w:r>
      <w:r w:rsidRPr="002B720B">
        <w:rPr>
          <w:rFonts w:cs="Arial"/>
          <w:szCs w:val="22"/>
        </w:rPr>
        <w:t>wicklung des politstrategischen Zielhorizonts eines Fokuslandes (NEEAP und NREAP-Prozess in Ägypten), 1 führt zur Schaffung eines neuen Marktsegments für lokale Privatu</w:t>
      </w:r>
      <w:r w:rsidRPr="002B720B">
        <w:rPr>
          <w:rFonts w:cs="Arial"/>
          <w:szCs w:val="22"/>
        </w:rPr>
        <w:t>n</w:t>
      </w:r>
      <w:r w:rsidRPr="002B720B">
        <w:rPr>
          <w:rFonts w:cs="Arial"/>
          <w:szCs w:val="22"/>
        </w:rPr>
        <w:t>ternehmen (BC-Prozess in Tunesien) und 2 führen zur Schaffung eines neuen Berufsbildes für lokale Arbeitskräfte (CEMP in Ägypten und C</w:t>
      </w:r>
      <w:r>
        <w:rPr>
          <w:rFonts w:cs="Arial"/>
          <w:szCs w:val="22"/>
        </w:rPr>
        <w:t>3</w:t>
      </w:r>
      <w:r w:rsidRPr="002B720B">
        <w:rPr>
          <w:rFonts w:cs="Arial"/>
          <w:szCs w:val="22"/>
        </w:rPr>
        <w:t xml:space="preserve">E in Tunesien), das rechtlich entsprechend verankert und mit neuen Ausbildungs- und Zertifizierungsmechanismen abgesichert wird. Die restlichen 5 haben bislang keine unmittelbaren politischen Konsequenzen, sondern dienen zuvorderst der Identifizierung von beschäftigungsrelevanten Markt- potentialen vor Ort, der Vorbereitung konkreter Kooperations- und Rollout-Aktivitäten sowie der Schaffung der hierfür notwendigen Partner- und Kooperationsstrukturen. Weitere Stakeholderdialoge </w:t>
      </w:r>
      <w:r>
        <w:rPr>
          <w:rFonts w:cs="Arial"/>
          <w:szCs w:val="22"/>
        </w:rPr>
        <w:t>sind</w:t>
      </w:r>
      <w:r w:rsidRPr="002B720B">
        <w:rPr>
          <w:rFonts w:cs="Arial"/>
          <w:szCs w:val="22"/>
        </w:rPr>
        <w:t xml:space="preserve"> in Vo</w:t>
      </w:r>
      <w:r w:rsidRPr="002B720B">
        <w:rPr>
          <w:rFonts w:cs="Arial"/>
          <w:szCs w:val="22"/>
        </w:rPr>
        <w:t>r</w:t>
      </w:r>
      <w:r w:rsidRPr="002B720B">
        <w:rPr>
          <w:rFonts w:cs="Arial"/>
          <w:szCs w:val="22"/>
        </w:rPr>
        <w:t>bereitung und werden in der 2.</w:t>
      </w:r>
      <w:r w:rsidR="000D1C51">
        <w:rPr>
          <w:rFonts w:cs="Arial"/>
          <w:szCs w:val="22"/>
        </w:rPr>
        <w:t xml:space="preserve"> </w:t>
      </w:r>
      <w:r w:rsidR="006129A7" w:rsidRPr="002B720B">
        <w:rPr>
          <w:rFonts w:cs="Arial"/>
          <w:szCs w:val="22"/>
        </w:rPr>
        <w:t>Jahreshälfte</w:t>
      </w:r>
      <w:r w:rsidRPr="002B720B">
        <w:rPr>
          <w:rFonts w:cs="Arial"/>
          <w:szCs w:val="22"/>
        </w:rPr>
        <w:t xml:space="preserve"> in die Umsetzung gehen.</w:t>
      </w:r>
    </w:p>
    <w:p w:rsidR="009C07B4" w:rsidRPr="002B720B" w:rsidRDefault="00C93429" w:rsidP="009C07B4">
      <w:pPr>
        <w:autoSpaceDE w:val="0"/>
        <w:autoSpaceDN w:val="0"/>
        <w:adjustRightInd w:val="0"/>
        <w:spacing w:after="120"/>
        <w:jc w:val="both"/>
        <w:rPr>
          <w:rFonts w:cs="Arial"/>
          <w:szCs w:val="22"/>
        </w:rPr>
      </w:pPr>
      <w:r w:rsidRPr="002B720B">
        <w:rPr>
          <w:rFonts w:cs="Arial"/>
          <w:szCs w:val="22"/>
        </w:rPr>
        <w:t xml:space="preserve">Bislang führte das Vorhaben 34 Veranstaltungen in 7 Ländern mit 990 Teilnehmern durch </w:t>
      </w:r>
      <w:r w:rsidR="000D1C51">
        <w:rPr>
          <w:rFonts w:cs="Arial"/>
          <w:szCs w:val="22"/>
        </w:rPr>
        <w:t>:</w:t>
      </w:r>
      <w:r w:rsidRPr="002B720B">
        <w:rPr>
          <w:rFonts w:cs="Arial"/>
          <w:szCs w:val="22"/>
        </w:rPr>
        <w:t xml:space="preserve"> Ca. die Hälfte dieser Veranstaltungen dient</w:t>
      </w:r>
      <w:r w:rsidR="000D1C51">
        <w:rPr>
          <w:rFonts w:cs="Arial"/>
          <w:szCs w:val="22"/>
        </w:rPr>
        <w:t>en</w:t>
      </w:r>
      <w:r w:rsidRPr="002B720B">
        <w:rPr>
          <w:rFonts w:cs="Arial"/>
          <w:szCs w:val="22"/>
        </w:rPr>
        <w:t xml:space="preserve"> der Wissens- und Strategieentwicklung mit Blick auf aktuell gegebene oder potentiell nutzbare beschäftigungsintensive Markt- und Technologiesegmente vor Ort und ist daher Indikator 1 und 4 zugeordnet. Die andere Hälfte dient</w:t>
      </w:r>
      <w:r w:rsidR="000D1C51">
        <w:rPr>
          <w:rFonts w:cs="Arial"/>
          <w:szCs w:val="22"/>
        </w:rPr>
        <w:t>e</w:t>
      </w:r>
      <w:r w:rsidRPr="002B720B">
        <w:rPr>
          <w:rFonts w:cs="Arial"/>
          <w:szCs w:val="22"/>
        </w:rPr>
        <w:t xml:space="preserve"> zu jeweils gleichen Teilen der Vorbereitung von </w:t>
      </w:r>
      <w:r w:rsidRPr="00051A30">
        <w:rPr>
          <w:rFonts w:cs="Arial"/>
          <w:i/>
          <w:szCs w:val="22"/>
        </w:rPr>
        <w:t>Rollout</w:t>
      </w:r>
      <w:r w:rsidRPr="002B720B">
        <w:rPr>
          <w:rFonts w:cs="Arial"/>
          <w:szCs w:val="22"/>
        </w:rPr>
        <w:t>- oder Unterstützungsma</w:t>
      </w:r>
      <w:r w:rsidRPr="002B720B">
        <w:rPr>
          <w:rFonts w:cs="Arial"/>
          <w:szCs w:val="22"/>
        </w:rPr>
        <w:t>ß</w:t>
      </w:r>
      <w:r w:rsidRPr="002B720B">
        <w:rPr>
          <w:rFonts w:cs="Arial"/>
          <w:szCs w:val="22"/>
        </w:rPr>
        <w:t xml:space="preserve">nahmen zwecks Nutzung der identifizierten Markt- und Technologiesegmente sowie der Entwicklung der hierfür notwendigen und qualitätsgesicherten Kompetenzen und Kapazitäten bei Partnern und Stakeholdern und ist daher Indikator 2 und 3 zugeordnet. Frauen stellen ein gutes Drittel der 990 Teilnehmer (eigene Schätzung). Viele dieser Teilnehmer haben sich nach eigener Aussage niemals </w:t>
      </w:r>
      <w:r>
        <w:rPr>
          <w:rFonts w:cs="Arial"/>
          <w:szCs w:val="22"/>
        </w:rPr>
        <w:t>zu</w:t>
      </w:r>
      <w:r w:rsidRPr="002B720B">
        <w:rPr>
          <w:rFonts w:cs="Arial"/>
          <w:szCs w:val="22"/>
        </w:rPr>
        <w:t>vor getroffen und wussten auc</w:t>
      </w:r>
      <w:r>
        <w:rPr>
          <w:rFonts w:cs="Arial"/>
          <w:szCs w:val="22"/>
        </w:rPr>
        <w:t xml:space="preserve">h nichts voneinander, </w:t>
      </w:r>
      <w:r w:rsidRPr="002B720B">
        <w:rPr>
          <w:rFonts w:cs="Arial"/>
          <w:szCs w:val="22"/>
        </w:rPr>
        <w:t>o</w:t>
      </w:r>
      <w:r w:rsidRPr="002B720B">
        <w:rPr>
          <w:rFonts w:cs="Arial"/>
          <w:szCs w:val="22"/>
        </w:rPr>
        <w:t>b</w:t>
      </w:r>
      <w:r w:rsidRPr="002B720B">
        <w:rPr>
          <w:rFonts w:cs="Arial"/>
          <w:szCs w:val="22"/>
        </w:rPr>
        <w:t xml:space="preserve">wohl sie oft zu denselben </w:t>
      </w:r>
      <w:r>
        <w:rPr>
          <w:rFonts w:cs="Arial"/>
          <w:szCs w:val="22"/>
        </w:rPr>
        <w:t xml:space="preserve">oder </w:t>
      </w:r>
      <w:r w:rsidRPr="002B720B">
        <w:rPr>
          <w:rFonts w:cs="Arial"/>
          <w:szCs w:val="22"/>
        </w:rPr>
        <w:t>artverwandten Themen (aber in unterschiedlichen Ländern</w:t>
      </w:r>
      <w:r>
        <w:rPr>
          <w:rFonts w:cs="Arial"/>
          <w:szCs w:val="22"/>
        </w:rPr>
        <w:t xml:space="preserve"> und </w:t>
      </w:r>
      <w:r w:rsidRPr="002B720B">
        <w:rPr>
          <w:rFonts w:cs="Arial"/>
          <w:szCs w:val="22"/>
        </w:rPr>
        <w:t>Sektoren) arbeiten.</w:t>
      </w:r>
    </w:p>
    <w:p w:rsidR="009C07B4" w:rsidRPr="002B720B" w:rsidRDefault="00C93429" w:rsidP="009C07B4">
      <w:pPr>
        <w:autoSpaceDE w:val="0"/>
        <w:autoSpaceDN w:val="0"/>
        <w:adjustRightInd w:val="0"/>
        <w:spacing w:after="120"/>
        <w:jc w:val="both"/>
        <w:rPr>
          <w:rFonts w:cs="Arial"/>
          <w:szCs w:val="22"/>
        </w:rPr>
      </w:pPr>
      <w:r w:rsidRPr="002B720B">
        <w:rPr>
          <w:rFonts w:cs="Arial"/>
          <w:szCs w:val="22"/>
        </w:rPr>
        <w:t>Durch den umfassenden Ansatz, der auf verschiedenen Ebenen ansetzt und unterschiedl</w:t>
      </w:r>
      <w:r w:rsidRPr="002B720B">
        <w:rPr>
          <w:rFonts w:cs="Arial"/>
          <w:szCs w:val="22"/>
        </w:rPr>
        <w:t>i</w:t>
      </w:r>
      <w:r w:rsidRPr="002B720B">
        <w:rPr>
          <w:rFonts w:cs="Arial"/>
          <w:szCs w:val="22"/>
        </w:rPr>
        <w:t>che Akteursgruppen einbindet, werden diese</w:t>
      </w:r>
      <w:r w:rsidR="000D1C51">
        <w:rPr>
          <w:rFonts w:cs="Arial"/>
          <w:szCs w:val="22"/>
        </w:rPr>
        <w:t xml:space="preserve"> Gruppen</w:t>
      </w:r>
      <w:r w:rsidRPr="002B720B">
        <w:rPr>
          <w:rFonts w:cs="Arial"/>
          <w:szCs w:val="22"/>
        </w:rPr>
        <w:t xml:space="preserve"> in die Lage versetzt, direkten Zugang zu einem größeren Kreis relevante</w:t>
      </w:r>
      <w:r>
        <w:rPr>
          <w:rFonts w:cs="Arial"/>
          <w:szCs w:val="22"/>
        </w:rPr>
        <w:t>r</w:t>
      </w:r>
      <w:r w:rsidRPr="002B720B">
        <w:rPr>
          <w:rFonts w:cs="Arial"/>
          <w:szCs w:val="22"/>
        </w:rPr>
        <w:t xml:space="preserve"> Ansprechpartnern zu gewinnen und ihr Wissen hinsich</w:t>
      </w:r>
      <w:r w:rsidRPr="002B720B">
        <w:rPr>
          <w:rFonts w:cs="Arial"/>
          <w:szCs w:val="22"/>
        </w:rPr>
        <w:t>t</w:t>
      </w:r>
      <w:r w:rsidRPr="002B720B">
        <w:rPr>
          <w:rFonts w:cs="Arial"/>
          <w:szCs w:val="22"/>
        </w:rPr>
        <w:t>lich der hochkomplexen und dynamischen Querverbindungen zwischen nachhaltige</w:t>
      </w:r>
      <w:r>
        <w:rPr>
          <w:rFonts w:cs="Arial"/>
          <w:szCs w:val="22"/>
        </w:rPr>
        <w:t>n</w:t>
      </w:r>
      <w:r w:rsidRPr="002B720B">
        <w:rPr>
          <w:rFonts w:cs="Arial"/>
          <w:szCs w:val="22"/>
        </w:rPr>
        <w:t xml:space="preserve"> Ene</w:t>
      </w:r>
      <w:r w:rsidRPr="002B720B">
        <w:rPr>
          <w:rFonts w:cs="Arial"/>
          <w:szCs w:val="22"/>
        </w:rPr>
        <w:t>r</w:t>
      </w:r>
      <w:r w:rsidRPr="002B720B">
        <w:rPr>
          <w:rFonts w:cs="Arial"/>
          <w:szCs w:val="22"/>
        </w:rPr>
        <w:t xml:space="preserve">gien </w:t>
      </w:r>
      <w:r>
        <w:rPr>
          <w:rFonts w:cs="Arial"/>
          <w:szCs w:val="22"/>
        </w:rPr>
        <w:t>und</w:t>
      </w:r>
      <w:r w:rsidRPr="002B720B">
        <w:rPr>
          <w:rFonts w:cs="Arial"/>
          <w:szCs w:val="22"/>
        </w:rPr>
        <w:t xml:space="preserve"> lokaler sozioökonomischer Entwicklung zu verbessern. Das auf Landesebene g</w:t>
      </w:r>
      <w:r w:rsidRPr="002B720B">
        <w:rPr>
          <w:rFonts w:cs="Arial"/>
          <w:szCs w:val="22"/>
        </w:rPr>
        <w:t>e</w:t>
      </w:r>
      <w:r w:rsidRPr="002B720B">
        <w:rPr>
          <w:rFonts w:cs="Arial"/>
          <w:szCs w:val="22"/>
        </w:rPr>
        <w:t xml:space="preserve">wonnene Wissen wird in den Regionaldialog eingespeist und umgekehrt. Das Vorhaben trägt unmittelbar dazu bei, </w:t>
      </w:r>
      <w:r w:rsidRPr="002B720B">
        <w:rPr>
          <w:rFonts w:eastAsia="Calibri" w:cs="Arial"/>
          <w:szCs w:val="22"/>
          <w:lang w:eastAsia="en-US"/>
        </w:rPr>
        <w:t xml:space="preserve">Lücken und Brüche zwischen den Ländern und Sektoren zu </w:t>
      </w:r>
      <w:r>
        <w:rPr>
          <w:rFonts w:eastAsia="Calibri" w:cs="Arial"/>
          <w:szCs w:val="22"/>
          <w:lang w:eastAsia="en-US"/>
        </w:rPr>
        <w:t>identifizi</w:t>
      </w:r>
      <w:r>
        <w:rPr>
          <w:rFonts w:eastAsia="Calibri" w:cs="Arial"/>
          <w:szCs w:val="22"/>
          <w:lang w:eastAsia="en-US"/>
        </w:rPr>
        <w:t>e</w:t>
      </w:r>
      <w:r>
        <w:rPr>
          <w:rFonts w:eastAsia="Calibri" w:cs="Arial"/>
          <w:szCs w:val="22"/>
          <w:lang w:eastAsia="en-US"/>
        </w:rPr>
        <w:t xml:space="preserve">ren und zu </w:t>
      </w:r>
      <w:r w:rsidRPr="002B720B">
        <w:rPr>
          <w:rFonts w:eastAsia="Calibri" w:cs="Arial"/>
          <w:szCs w:val="22"/>
          <w:lang w:eastAsia="en-US"/>
        </w:rPr>
        <w:t>schließen, Ressourcen zu poolen, Synergien zu schaffen, Transaktionskosten für die Beteiligten zu senken und Hebelwirkungen für Zielgruppen zu verstärken</w:t>
      </w:r>
      <w:r w:rsidRPr="002B720B">
        <w:rPr>
          <w:rFonts w:cs="Arial"/>
          <w:szCs w:val="22"/>
        </w:rPr>
        <w:t xml:space="preserve"> (</w:t>
      </w:r>
      <w:r w:rsidRPr="002B720B">
        <w:rPr>
          <w:rFonts w:cs="Arial"/>
          <w:b/>
          <w:bCs/>
          <w:szCs w:val="22"/>
        </w:rPr>
        <w:t>direkte Wi</w:t>
      </w:r>
      <w:r w:rsidRPr="002B720B">
        <w:rPr>
          <w:rFonts w:cs="Arial"/>
          <w:b/>
          <w:bCs/>
          <w:szCs w:val="22"/>
        </w:rPr>
        <w:t>r</w:t>
      </w:r>
      <w:r w:rsidRPr="002B720B">
        <w:rPr>
          <w:rFonts w:cs="Arial"/>
          <w:b/>
          <w:bCs/>
          <w:szCs w:val="22"/>
        </w:rPr>
        <w:t>kung</w:t>
      </w:r>
      <w:r w:rsidRPr="002B720B">
        <w:rPr>
          <w:rFonts w:cs="Arial"/>
          <w:szCs w:val="22"/>
        </w:rPr>
        <w:t>).</w:t>
      </w:r>
    </w:p>
    <w:p w:rsidR="009C07B4" w:rsidRPr="002B720B" w:rsidRDefault="00C93429" w:rsidP="009C07B4">
      <w:pPr>
        <w:autoSpaceDE w:val="0"/>
        <w:autoSpaceDN w:val="0"/>
        <w:adjustRightInd w:val="0"/>
        <w:spacing w:after="120"/>
        <w:jc w:val="both"/>
        <w:rPr>
          <w:rFonts w:cs="Arial"/>
          <w:szCs w:val="22"/>
        </w:rPr>
      </w:pPr>
      <w:r w:rsidRPr="002B720B">
        <w:rPr>
          <w:rFonts w:cs="Arial"/>
          <w:szCs w:val="22"/>
        </w:rPr>
        <w:t>Auf Basis der neu geschaffenen Netzwerke und des so gewonnenen Zusatzwissens entw</w:t>
      </w:r>
      <w:r w:rsidRPr="002B720B">
        <w:rPr>
          <w:rFonts w:cs="Arial"/>
          <w:szCs w:val="22"/>
        </w:rPr>
        <w:t>i</w:t>
      </w:r>
      <w:r w:rsidRPr="002B720B">
        <w:rPr>
          <w:rFonts w:cs="Arial"/>
          <w:szCs w:val="22"/>
        </w:rPr>
        <w:t>ckeln die unterschiedlichen Akteursgruppen angepasste(re) Lösungsansätze und setzen sie gemeinsam um. Die Verbesserung der Rahmenbedingungen, die Schaffung neuer Förderi</w:t>
      </w:r>
      <w:r w:rsidRPr="002B720B">
        <w:rPr>
          <w:rFonts w:cs="Arial"/>
          <w:szCs w:val="22"/>
        </w:rPr>
        <w:t>n</w:t>
      </w:r>
      <w:r w:rsidRPr="002B720B">
        <w:rPr>
          <w:rFonts w:cs="Arial"/>
          <w:szCs w:val="22"/>
        </w:rPr>
        <w:t xml:space="preserve">strumente, die Durchführung konkreter </w:t>
      </w:r>
      <w:r w:rsidRPr="00051A30">
        <w:rPr>
          <w:rFonts w:cs="Arial"/>
          <w:i/>
          <w:szCs w:val="22"/>
        </w:rPr>
        <w:t>Rollout</w:t>
      </w:r>
      <w:r w:rsidRPr="002B720B">
        <w:rPr>
          <w:rFonts w:cs="Arial"/>
          <w:szCs w:val="22"/>
        </w:rPr>
        <w:t>-Maßnahmen sowie die Stärkung lokaler K</w:t>
      </w:r>
      <w:r w:rsidRPr="002B720B">
        <w:rPr>
          <w:rFonts w:cs="Arial"/>
          <w:szCs w:val="22"/>
        </w:rPr>
        <w:t>a</w:t>
      </w:r>
      <w:r>
        <w:rPr>
          <w:rFonts w:cs="Arial"/>
          <w:szCs w:val="22"/>
        </w:rPr>
        <w:t xml:space="preserve">pazitäten </w:t>
      </w:r>
      <w:r w:rsidRPr="002B720B">
        <w:rPr>
          <w:rFonts w:cs="Arial"/>
          <w:szCs w:val="22"/>
        </w:rPr>
        <w:t>sorgen dafür, dass der Markt für die identifizierten beschäftigungsintensiven A</w:t>
      </w:r>
      <w:r w:rsidRPr="002B720B">
        <w:rPr>
          <w:rFonts w:cs="Arial"/>
          <w:szCs w:val="22"/>
        </w:rPr>
        <w:t>n</w:t>
      </w:r>
      <w:r w:rsidRPr="002B720B">
        <w:rPr>
          <w:rFonts w:cs="Arial"/>
          <w:szCs w:val="22"/>
        </w:rPr>
        <w:t>wendungen signifikant wächst</w:t>
      </w:r>
      <w:r>
        <w:rPr>
          <w:rFonts w:cs="Arial"/>
          <w:szCs w:val="22"/>
        </w:rPr>
        <w:t xml:space="preserve"> und zugleich bedient werden kann</w:t>
      </w:r>
      <w:r w:rsidRPr="002B720B">
        <w:rPr>
          <w:rFonts w:cs="Arial"/>
          <w:szCs w:val="22"/>
        </w:rPr>
        <w:t xml:space="preserve"> (</w:t>
      </w:r>
      <w:r w:rsidRPr="002B720B">
        <w:rPr>
          <w:rFonts w:cs="Arial"/>
          <w:b/>
          <w:bCs/>
          <w:szCs w:val="22"/>
        </w:rPr>
        <w:t>indirekte Wirkung</w:t>
      </w:r>
      <w:r w:rsidRPr="002B720B">
        <w:rPr>
          <w:rFonts w:cs="Arial"/>
          <w:szCs w:val="22"/>
        </w:rPr>
        <w:t>).</w:t>
      </w:r>
    </w:p>
    <w:p w:rsidR="009C07B4" w:rsidRPr="002B720B" w:rsidRDefault="00C93429" w:rsidP="009C07B4">
      <w:pPr>
        <w:autoSpaceDE w:val="0"/>
        <w:autoSpaceDN w:val="0"/>
        <w:adjustRightInd w:val="0"/>
        <w:spacing w:after="120"/>
        <w:jc w:val="both"/>
        <w:rPr>
          <w:rFonts w:cs="Arial"/>
          <w:szCs w:val="22"/>
        </w:rPr>
      </w:pPr>
      <w:r w:rsidRPr="002B720B">
        <w:rPr>
          <w:rFonts w:cs="Arial"/>
          <w:szCs w:val="22"/>
        </w:rPr>
        <w:t>Das Vorhaben unterstützt die lokale Wertschöpfung und Beschäftigung im Bereich RE/EE. Durch die Reduzierung der Arbeitslosigkeit und die Schaffung neuer Einnahmequellen trägt es zur wirtschaftlichen und politischen Stabilisierung der beteiligten Länder bei. Es leistet z</w:t>
      </w:r>
      <w:r w:rsidRPr="002B720B">
        <w:rPr>
          <w:rFonts w:cs="Arial"/>
          <w:szCs w:val="22"/>
        </w:rPr>
        <w:t>u</w:t>
      </w:r>
      <w:r w:rsidRPr="002B720B">
        <w:rPr>
          <w:rFonts w:cs="Arial"/>
          <w:szCs w:val="22"/>
        </w:rPr>
        <w:t>dem einen Beitrag zur Diversifizierung der Energieversorgung, zur Verbesserung der Ve</w:t>
      </w:r>
      <w:r w:rsidRPr="002B720B">
        <w:rPr>
          <w:rFonts w:cs="Arial"/>
          <w:szCs w:val="22"/>
        </w:rPr>
        <w:t>r</w:t>
      </w:r>
      <w:r w:rsidRPr="002B720B">
        <w:rPr>
          <w:rFonts w:cs="Arial"/>
          <w:szCs w:val="22"/>
        </w:rPr>
        <w:t>sorgungssicherheit sowie zur Verringerung von CO2-Emissionen und anderer Gefahren für Umwelt und Gesundheit. Lokale Nutzer und Partner werden befähigt, die erzielten Ergebni</w:t>
      </w:r>
      <w:r w:rsidRPr="002B720B">
        <w:rPr>
          <w:rFonts w:cs="Arial"/>
          <w:szCs w:val="22"/>
        </w:rPr>
        <w:t>s</w:t>
      </w:r>
      <w:r w:rsidRPr="002B720B">
        <w:rPr>
          <w:rFonts w:cs="Arial"/>
          <w:szCs w:val="22"/>
        </w:rPr>
        <w:t>se und Erkenntnisse eigenständig weiterzuführen. Gewonnene Einblicke und neue Ideen werden gezielt in die nächste Generation von EZ-Projekten eingespeist. Die initiierten R</w:t>
      </w:r>
      <w:r w:rsidRPr="002B720B">
        <w:rPr>
          <w:rFonts w:cs="Arial"/>
          <w:szCs w:val="22"/>
        </w:rPr>
        <w:t>e</w:t>
      </w:r>
      <w:r w:rsidRPr="002B720B">
        <w:rPr>
          <w:rFonts w:cs="Arial"/>
          <w:szCs w:val="22"/>
        </w:rPr>
        <w:t xml:space="preserve">formen, die geförderten neuen Marktsegmente und der damit verbundene Wissenstransfer wirken somit über die </w:t>
      </w:r>
      <w:r>
        <w:rPr>
          <w:rFonts w:cs="Arial"/>
          <w:szCs w:val="22"/>
        </w:rPr>
        <w:t xml:space="preserve">eigentliche </w:t>
      </w:r>
      <w:r w:rsidRPr="002B720B">
        <w:rPr>
          <w:rFonts w:cs="Arial"/>
          <w:szCs w:val="22"/>
        </w:rPr>
        <w:t>Projektlaufzeit hinaus (</w:t>
      </w:r>
      <w:r w:rsidRPr="002B720B">
        <w:rPr>
          <w:rFonts w:cs="Arial"/>
          <w:b/>
          <w:bCs/>
          <w:szCs w:val="22"/>
        </w:rPr>
        <w:t>entwicklungspolitische Wirkung</w:t>
      </w:r>
      <w:r w:rsidRPr="002B720B">
        <w:rPr>
          <w:rFonts w:cs="Arial"/>
          <w:szCs w:val="22"/>
        </w:rPr>
        <w:t>).</w:t>
      </w:r>
    </w:p>
    <w:p w:rsidR="009C07B4" w:rsidRPr="002B720B" w:rsidRDefault="00C93429" w:rsidP="009C07B4">
      <w:pPr>
        <w:autoSpaceDE w:val="0"/>
        <w:autoSpaceDN w:val="0"/>
        <w:adjustRightInd w:val="0"/>
        <w:spacing w:after="120"/>
        <w:jc w:val="both"/>
        <w:rPr>
          <w:rFonts w:cs="Arial"/>
          <w:szCs w:val="22"/>
        </w:rPr>
      </w:pPr>
      <w:r w:rsidRPr="002B720B">
        <w:rPr>
          <w:rFonts w:cs="Arial"/>
          <w:szCs w:val="22"/>
        </w:rPr>
        <w:t xml:space="preserve">Die übrigen im Angebot formulierten Beiträge zu den </w:t>
      </w:r>
      <w:r w:rsidRPr="002B720B">
        <w:rPr>
          <w:rFonts w:cs="Arial"/>
          <w:b/>
          <w:bCs/>
          <w:szCs w:val="22"/>
        </w:rPr>
        <w:t xml:space="preserve">Kennungen </w:t>
      </w:r>
      <w:r w:rsidRPr="002B720B">
        <w:rPr>
          <w:rFonts w:cs="Arial"/>
          <w:szCs w:val="22"/>
        </w:rPr>
        <w:t>sind weiterhin gültig:</w:t>
      </w:r>
    </w:p>
    <w:p w:rsidR="009C07B4" w:rsidRPr="002B720B" w:rsidRDefault="00C93429" w:rsidP="009C07B4">
      <w:pPr>
        <w:autoSpaceDE w:val="0"/>
        <w:autoSpaceDN w:val="0"/>
        <w:adjustRightInd w:val="0"/>
        <w:spacing w:after="120"/>
        <w:jc w:val="both"/>
        <w:rPr>
          <w:rFonts w:cs="Arial"/>
          <w:szCs w:val="22"/>
        </w:rPr>
      </w:pPr>
      <w:r w:rsidRPr="002B720B">
        <w:rPr>
          <w:rFonts w:cs="Arial"/>
          <w:b/>
          <w:szCs w:val="22"/>
        </w:rPr>
        <w:t>Sozioökonomische Wirkungen (Armutsorientierung AO):</w:t>
      </w:r>
      <w:r w:rsidRPr="002B720B">
        <w:rPr>
          <w:rFonts w:cs="Arial"/>
          <w:szCs w:val="22"/>
        </w:rPr>
        <w:t xml:space="preserve"> Durch die Schaffung neuer A</w:t>
      </w:r>
      <w:r w:rsidRPr="002B720B">
        <w:rPr>
          <w:rFonts w:cs="Arial"/>
          <w:szCs w:val="22"/>
        </w:rPr>
        <w:t>r</w:t>
      </w:r>
      <w:r w:rsidRPr="002B720B">
        <w:rPr>
          <w:rFonts w:cs="Arial"/>
          <w:szCs w:val="22"/>
        </w:rPr>
        <w:t>beitsplätze auf verschiedenen Qualifizierungsniveaus entstehen zusätzliche Einkommen</w:t>
      </w:r>
      <w:r w:rsidRPr="002B720B">
        <w:rPr>
          <w:rFonts w:cs="Arial"/>
          <w:szCs w:val="22"/>
        </w:rPr>
        <w:t>s</w:t>
      </w:r>
      <w:r w:rsidRPr="002B720B">
        <w:rPr>
          <w:rFonts w:cs="Arial"/>
          <w:szCs w:val="22"/>
        </w:rPr>
        <w:t xml:space="preserve">möglichkeiten </w:t>
      </w:r>
      <w:r>
        <w:rPr>
          <w:rFonts w:cs="Arial"/>
          <w:szCs w:val="22"/>
        </w:rPr>
        <w:t>für zahlreiche Gruppen</w:t>
      </w:r>
      <w:r w:rsidRPr="002B720B">
        <w:rPr>
          <w:rFonts w:cs="Arial"/>
          <w:szCs w:val="22"/>
        </w:rPr>
        <w:t>. Haushalte und Unternehmen, die die identifizierten und unterstützten Technologien und Anwendungen nutzen, profitieren nach Ablauf der Amo</w:t>
      </w:r>
      <w:r w:rsidRPr="002B720B">
        <w:rPr>
          <w:rFonts w:cs="Arial"/>
          <w:szCs w:val="22"/>
        </w:rPr>
        <w:t>r</w:t>
      </w:r>
      <w:r w:rsidRPr="002B720B">
        <w:rPr>
          <w:rFonts w:cs="Arial"/>
          <w:szCs w:val="22"/>
        </w:rPr>
        <w:t>tisationsphase von verringerten Betriebskosten bzw. zusätzlichen Einnahmequellen. Insg</w:t>
      </w:r>
      <w:r w:rsidRPr="002B720B">
        <w:rPr>
          <w:rFonts w:cs="Arial"/>
          <w:szCs w:val="22"/>
        </w:rPr>
        <w:t>e</w:t>
      </w:r>
      <w:r w:rsidRPr="002B720B">
        <w:rPr>
          <w:rFonts w:cs="Arial"/>
          <w:szCs w:val="22"/>
        </w:rPr>
        <w:t>samt trägt das Vorhaben indirekt zur Armutsminderung bei und erhält die Kennung AO-EPA.</w:t>
      </w:r>
    </w:p>
    <w:p w:rsidR="009C07B4" w:rsidRPr="002B720B" w:rsidRDefault="00C93429" w:rsidP="009C07B4">
      <w:pPr>
        <w:autoSpaceDE w:val="0"/>
        <w:autoSpaceDN w:val="0"/>
        <w:adjustRightInd w:val="0"/>
        <w:spacing w:after="120"/>
        <w:jc w:val="both"/>
        <w:rPr>
          <w:rFonts w:cs="Arial"/>
          <w:szCs w:val="22"/>
        </w:rPr>
      </w:pPr>
      <w:r w:rsidRPr="002B720B">
        <w:rPr>
          <w:rFonts w:cs="Arial"/>
          <w:b/>
          <w:szCs w:val="22"/>
        </w:rPr>
        <w:t>Partizipative Entwicklung und Gute Regierungsführung (PG):</w:t>
      </w:r>
      <w:r w:rsidRPr="002B720B">
        <w:rPr>
          <w:rFonts w:cs="Arial"/>
          <w:szCs w:val="22"/>
        </w:rPr>
        <w:t xml:space="preserve"> Das Vorhaben ist nicht auf die Förderung partizipativer Entwicklung und guter Regierungsführung ausgerichtet. Alle</w:t>
      </w:r>
      <w:r w:rsidRPr="002B720B">
        <w:rPr>
          <w:rFonts w:cs="Arial"/>
          <w:szCs w:val="22"/>
        </w:rPr>
        <w:t>r</w:t>
      </w:r>
      <w:r w:rsidRPr="002B720B">
        <w:rPr>
          <w:rFonts w:cs="Arial"/>
          <w:szCs w:val="22"/>
        </w:rPr>
        <w:t xml:space="preserve">dings </w:t>
      </w:r>
      <w:r>
        <w:rPr>
          <w:rFonts w:cs="Arial"/>
          <w:szCs w:val="22"/>
        </w:rPr>
        <w:t xml:space="preserve">unterstützt </w:t>
      </w:r>
      <w:r w:rsidRPr="002B720B">
        <w:rPr>
          <w:rFonts w:cs="Arial"/>
          <w:szCs w:val="22"/>
        </w:rPr>
        <w:t xml:space="preserve">es wirtschafts- und energiepolitische Strategien, die zu einer gezielteren und effektiveren </w:t>
      </w:r>
      <w:r>
        <w:rPr>
          <w:rFonts w:cs="Arial"/>
          <w:szCs w:val="22"/>
        </w:rPr>
        <w:t>B</w:t>
      </w:r>
      <w:r w:rsidRPr="002B720B">
        <w:rPr>
          <w:rFonts w:cs="Arial"/>
          <w:szCs w:val="22"/>
        </w:rPr>
        <w:t>eteiligung und Besserstellung der lokalen Bevölkerung führen (PD/GG-0).</w:t>
      </w:r>
    </w:p>
    <w:p w:rsidR="009C07B4" w:rsidRPr="002B720B" w:rsidRDefault="00C93429" w:rsidP="009C07B4">
      <w:pPr>
        <w:autoSpaceDE w:val="0"/>
        <w:autoSpaceDN w:val="0"/>
        <w:adjustRightInd w:val="0"/>
        <w:spacing w:after="120"/>
        <w:jc w:val="both"/>
        <w:rPr>
          <w:rFonts w:cs="Arial"/>
          <w:szCs w:val="22"/>
        </w:rPr>
      </w:pPr>
      <w:r w:rsidRPr="002B720B">
        <w:rPr>
          <w:rFonts w:cs="Arial"/>
          <w:b/>
          <w:szCs w:val="22"/>
        </w:rPr>
        <w:t>Gleichberechtigung der Geschlechter (GG):</w:t>
      </w:r>
      <w:r w:rsidRPr="002B720B">
        <w:rPr>
          <w:rFonts w:cs="Arial"/>
          <w:szCs w:val="22"/>
        </w:rPr>
        <w:t xml:space="preserve"> Für das Vorhaben steht die Geschlec</w:t>
      </w:r>
      <w:r w:rsidRPr="002B720B">
        <w:rPr>
          <w:rFonts w:cs="Arial"/>
          <w:szCs w:val="22"/>
        </w:rPr>
        <w:t>h</w:t>
      </w:r>
      <w:r w:rsidRPr="002B720B">
        <w:rPr>
          <w:rFonts w:cs="Arial"/>
          <w:szCs w:val="22"/>
        </w:rPr>
        <w:t>tergleichstellung nicht im Vordergrund. Durch eine gleichberechtigte Beteiligung von Frauen an Planungs-, Konsultations- und Qualifizierungsmaßnahmen wird sichergestellt, dass Fra</w:t>
      </w:r>
      <w:r w:rsidRPr="002B720B">
        <w:rPr>
          <w:rFonts w:cs="Arial"/>
          <w:szCs w:val="22"/>
        </w:rPr>
        <w:t>u</w:t>
      </w:r>
      <w:r w:rsidRPr="002B720B">
        <w:rPr>
          <w:rFonts w:cs="Arial"/>
          <w:szCs w:val="22"/>
        </w:rPr>
        <w:t>en gleichermaßen wie Männer von Verbesserungen profitieren (GG-0).</w:t>
      </w:r>
    </w:p>
    <w:p w:rsidR="009C07B4" w:rsidRPr="002B720B" w:rsidRDefault="00C93429" w:rsidP="009C07B4">
      <w:pPr>
        <w:autoSpaceDE w:val="0"/>
        <w:autoSpaceDN w:val="0"/>
        <w:adjustRightInd w:val="0"/>
        <w:spacing w:after="120"/>
        <w:jc w:val="both"/>
        <w:rPr>
          <w:rFonts w:cs="Arial"/>
          <w:szCs w:val="22"/>
        </w:rPr>
      </w:pPr>
      <w:r w:rsidRPr="002B720B">
        <w:rPr>
          <w:rFonts w:cs="Arial"/>
          <w:b/>
          <w:szCs w:val="22"/>
        </w:rPr>
        <w:t>Frieden und Sicherheit (FS):</w:t>
      </w:r>
      <w:r w:rsidRPr="002B720B">
        <w:rPr>
          <w:rFonts w:cs="Arial"/>
          <w:szCs w:val="22"/>
        </w:rPr>
        <w:t xml:space="preserve"> Krisenprävention und Friedensentwicklung sind nicht expliz</w:t>
      </w:r>
      <w:r w:rsidRPr="002B720B">
        <w:rPr>
          <w:rFonts w:cs="Arial"/>
          <w:szCs w:val="22"/>
        </w:rPr>
        <w:t>i</w:t>
      </w:r>
      <w:r w:rsidRPr="002B720B">
        <w:rPr>
          <w:rFonts w:cs="Arial"/>
          <w:szCs w:val="22"/>
        </w:rPr>
        <w:t>tes Ziel des Vorhabens, es leistet jedoch über Beschäftigungswirkungen einen indirekten Beitrag zur Festigung des sozialen Friedens. Es erhält daher die Kennung FS-0.</w:t>
      </w:r>
    </w:p>
    <w:p w:rsidR="009C07B4" w:rsidRPr="002B720B" w:rsidRDefault="00C93429" w:rsidP="009C07B4">
      <w:pPr>
        <w:autoSpaceDE w:val="0"/>
        <w:autoSpaceDN w:val="0"/>
        <w:adjustRightInd w:val="0"/>
        <w:spacing w:after="120"/>
        <w:jc w:val="both"/>
        <w:rPr>
          <w:rFonts w:cs="Arial"/>
          <w:szCs w:val="22"/>
        </w:rPr>
      </w:pPr>
      <w:r w:rsidRPr="002B720B">
        <w:rPr>
          <w:rFonts w:cs="Arial"/>
          <w:b/>
          <w:szCs w:val="22"/>
        </w:rPr>
        <w:t>Umwelt- und Ressourcenschutz (UR):</w:t>
      </w:r>
      <w:r w:rsidRPr="002B720B">
        <w:rPr>
          <w:rFonts w:cs="Arial"/>
          <w:szCs w:val="22"/>
        </w:rPr>
        <w:t xml:space="preserve"> Die verstärkte Nutzung von erneuerbaren Energien und die Verbesserung der Energieeffizienz führen zu einer Reduzierung von umwelt- und klimaschädlichen Emissionen. Das Vorhaben erhält daher die Kennung UR-1. </w:t>
      </w:r>
    </w:p>
    <w:p w:rsidR="009C07B4" w:rsidRPr="002B720B" w:rsidRDefault="00C93429" w:rsidP="009C07B4">
      <w:pPr>
        <w:autoSpaceDE w:val="0"/>
        <w:autoSpaceDN w:val="0"/>
        <w:adjustRightInd w:val="0"/>
        <w:spacing w:after="120"/>
        <w:jc w:val="both"/>
        <w:rPr>
          <w:rFonts w:cs="Arial"/>
          <w:szCs w:val="22"/>
        </w:rPr>
      </w:pPr>
      <w:r w:rsidRPr="002B720B">
        <w:rPr>
          <w:rFonts w:cs="Arial"/>
          <w:b/>
          <w:szCs w:val="22"/>
        </w:rPr>
        <w:t>Klimawandel, Minderung von Treibhausgasen (KLM) und Anpassung an den Klim</w:t>
      </w:r>
      <w:r w:rsidRPr="002B720B">
        <w:rPr>
          <w:rFonts w:cs="Arial"/>
          <w:b/>
          <w:szCs w:val="22"/>
        </w:rPr>
        <w:t>a</w:t>
      </w:r>
      <w:r w:rsidRPr="002B720B">
        <w:rPr>
          <w:rFonts w:cs="Arial"/>
          <w:b/>
          <w:szCs w:val="22"/>
        </w:rPr>
        <w:t>wandel (KLA):</w:t>
      </w:r>
      <w:r w:rsidRPr="002B720B">
        <w:rPr>
          <w:rFonts w:cs="Arial"/>
          <w:szCs w:val="22"/>
        </w:rPr>
        <w:t xml:space="preserve"> </w:t>
      </w:r>
      <w:r>
        <w:rPr>
          <w:rFonts w:cs="Arial"/>
          <w:szCs w:val="22"/>
        </w:rPr>
        <w:t>Mi</w:t>
      </w:r>
      <w:r w:rsidRPr="002B720B">
        <w:rPr>
          <w:rFonts w:cs="Arial"/>
          <w:szCs w:val="22"/>
        </w:rPr>
        <w:t xml:space="preserve">ttels einer intensiveren Nutzung von </w:t>
      </w:r>
      <w:r>
        <w:rPr>
          <w:rFonts w:cs="Arial"/>
          <w:szCs w:val="22"/>
        </w:rPr>
        <w:t>RE/EE</w:t>
      </w:r>
      <w:r w:rsidRPr="002B720B">
        <w:rPr>
          <w:rFonts w:cs="Arial"/>
          <w:szCs w:val="22"/>
        </w:rPr>
        <w:t xml:space="preserve"> </w:t>
      </w:r>
      <w:r>
        <w:rPr>
          <w:rFonts w:cs="Arial"/>
          <w:szCs w:val="22"/>
        </w:rPr>
        <w:t xml:space="preserve">trägt das Vorhaben </w:t>
      </w:r>
      <w:r w:rsidRPr="002B720B">
        <w:rPr>
          <w:rFonts w:cs="Arial"/>
          <w:szCs w:val="22"/>
        </w:rPr>
        <w:t>zur Mind</w:t>
      </w:r>
      <w:r w:rsidRPr="002B720B">
        <w:rPr>
          <w:rFonts w:cs="Arial"/>
          <w:szCs w:val="22"/>
        </w:rPr>
        <w:t>e</w:t>
      </w:r>
      <w:r w:rsidRPr="002B720B">
        <w:rPr>
          <w:rFonts w:cs="Arial"/>
          <w:szCs w:val="22"/>
        </w:rPr>
        <w:t>rung des Klimawandels</w:t>
      </w:r>
      <w:r>
        <w:rPr>
          <w:rFonts w:cs="Arial"/>
          <w:szCs w:val="22"/>
        </w:rPr>
        <w:t>, aber nicht</w:t>
      </w:r>
      <w:r w:rsidRPr="002B720B">
        <w:rPr>
          <w:rFonts w:cs="Arial"/>
          <w:szCs w:val="22"/>
        </w:rPr>
        <w:t xml:space="preserve"> zur Anpassung an den Klimawandel bei</w:t>
      </w:r>
      <w:r>
        <w:rPr>
          <w:rFonts w:cs="Arial"/>
          <w:szCs w:val="22"/>
        </w:rPr>
        <w:t xml:space="preserve"> (KLM-1/KLA-0)</w:t>
      </w:r>
      <w:r w:rsidRPr="002B720B">
        <w:rPr>
          <w:rFonts w:cs="Arial"/>
          <w:szCs w:val="22"/>
        </w:rPr>
        <w:t>.</w:t>
      </w:r>
    </w:p>
    <w:p w:rsidR="009C07B4" w:rsidRPr="002B720B" w:rsidRDefault="00C93429" w:rsidP="009C07B4">
      <w:pPr>
        <w:autoSpaceDE w:val="0"/>
        <w:autoSpaceDN w:val="0"/>
        <w:adjustRightInd w:val="0"/>
        <w:spacing w:after="120"/>
        <w:jc w:val="both"/>
        <w:rPr>
          <w:rFonts w:cs="Arial"/>
          <w:szCs w:val="22"/>
        </w:rPr>
      </w:pPr>
      <w:r w:rsidRPr="002B720B">
        <w:rPr>
          <w:rFonts w:cs="Arial"/>
          <w:b/>
          <w:szCs w:val="22"/>
        </w:rPr>
        <w:t>Ländliche Entwicklung (LE):</w:t>
      </w:r>
      <w:r w:rsidRPr="002B720B">
        <w:rPr>
          <w:rFonts w:cs="Arial"/>
          <w:szCs w:val="22"/>
        </w:rPr>
        <w:t xml:space="preserve"> D</w:t>
      </w:r>
      <w:r>
        <w:rPr>
          <w:rFonts w:cs="Arial"/>
          <w:szCs w:val="22"/>
        </w:rPr>
        <w:t>as Vorhaben</w:t>
      </w:r>
      <w:r w:rsidRPr="002B720B">
        <w:rPr>
          <w:rFonts w:cs="Arial"/>
          <w:szCs w:val="22"/>
        </w:rPr>
        <w:t xml:space="preserve"> ist nicht primär auf ländliche Entwicklung und/oder Ernährungssicherung ausgerichtet (LE-0).</w:t>
      </w:r>
    </w:p>
    <w:p w:rsidR="009C07B4" w:rsidRPr="002B720B" w:rsidRDefault="00C93429" w:rsidP="009C07B4">
      <w:pPr>
        <w:autoSpaceDE w:val="0"/>
        <w:autoSpaceDN w:val="0"/>
        <w:adjustRightInd w:val="0"/>
        <w:spacing w:after="120"/>
        <w:jc w:val="both"/>
        <w:rPr>
          <w:rFonts w:cs="Arial"/>
          <w:szCs w:val="22"/>
        </w:rPr>
      </w:pPr>
      <w:r w:rsidRPr="002B720B">
        <w:rPr>
          <w:rFonts w:cs="Arial"/>
          <w:b/>
          <w:szCs w:val="22"/>
        </w:rPr>
        <w:t>Biodiversitätskonvention (BTR):</w:t>
      </w:r>
      <w:r w:rsidRPr="002B720B">
        <w:rPr>
          <w:rFonts w:cs="Arial"/>
          <w:szCs w:val="22"/>
        </w:rPr>
        <w:t xml:space="preserve"> </w:t>
      </w:r>
      <w:r>
        <w:rPr>
          <w:rFonts w:cs="Arial"/>
          <w:szCs w:val="22"/>
        </w:rPr>
        <w:t>Es</w:t>
      </w:r>
      <w:r w:rsidRPr="002B720B">
        <w:rPr>
          <w:rFonts w:cs="Arial"/>
          <w:szCs w:val="22"/>
        </w:rPr>
        <w:t xml:space="preserve"> trägt nicht zum Schutz der Biodiversität bei (BTR-0).</w:t>
      </w:r>
    </w:p>
    <w:p w:rsidR="009C07B4" w:rsidRPr="002B720B" w:rsidRDefault="00C93429" w:rsidP="009C07B4">
      <w:pPr>
        <w:autoSpaceDE w:val="0"/>
        <w:autoSpaceDN w:val="0"/>
        <w:adjustRightInd w:val="0"/>
        <w:spacing w:after="120"/>
        <w:jc w:val="both"/>
        <w:rPr>
          <w:rFonts w:cs="Arial"/>
          <w:szCs w:val="22"/>
        </w:rPr>
      </w:pPr>
      <w:r w:rsidRPr="002B720B">
        <w:rPr>
          <w:rFonts w:cs="Arial"/>
          <w:b/>
          <w:szCs w:val="22"/>
        </w:rPr>
        <w:t>Handelsentwicklung (TD):</w:t>
      </w:r>
      <w:r w:rsidRPr="002B720B">
        <w:rPr>
          <w:rFonts w:cs="Arial"/>
          <w:szCs w:val="22"/>
        </w:rPr>
        <w:t xml:space="preserve"> </w:t>
      </w:r>
      <w:r>
        <w:rPr>
          <w:rFonts w:cs="Arial"/>
          <w:szCs w:val="22"/>
        </w:rPr>
        <w:t xml:space="preserve">Es ist </w:t>
      </w:r>
      <w:r w:rsidRPr="002B720B">
        <w:rPr>
          <w:rFonts w:cs="Arial"/>
          <w:szCs w:val="22"/>
        </w:rPr>
        <w:t>nicht auf die Förderung de</w:t>
      </w:r>
      <w:r>
        <w:rPr>
          <w:rFonts w:cs="Arial"/>
          <w:szCs w:val="22"/>
        </w:rPr>
        <w:t>s</w:t>
      </w:r>
      <w:r w:rsidRPr="002B720B">
        <w:rPr>
          <w:rFonts w:cs="Arial"/>
          <w:szCs w:val="22"/>
        </w:rPr>
        <w:t xml:space="preserve"> Handels ausgerichtet (TD-0).</w:t>
      </w:r>
    </w:p>
    <w:p w:rsidR="009C07B4" w:rsidRPr="002B720B" w:rsidRDefault="00C93429" w:rsidP="009C07B4">
      <w:pPr>
        <w:autoSpaceDE w:val="0"/>
        <w:autoSpaceDN w:val="0"/>
        <w:adjustRightInd w:val="0"/>
        <w:spacing w:after="120"/>
        <w:jc w:val="both"/>
        <w:rPr>
          <w:rFonts w:cs="Arial"/>
          <w:szCs w:val="22"/>
        </w:rPr>
      </w:pPr>
      <w:r w:rsidRPr="002B720B">
        <w:rPr>
          <w:rFonts w:cs="Arial"/>
          <w:szCs w:val="22"/>
        </w:rPr>
        <w:t>Die Themen, welche durch das Vorhaben bearbeitet werden, haben für eine rasche, umfa</w:t>
      </w:r>
      <w:r w:rsidRPr="002B720B">
        <w:rPr>
          <w:rFonts w:cs="Arial"/>
          <w:szCs w:val="22"/>
        </w:rPr>
        <w:t>s</w:t>
      </w:r>
      <w:r w:rsidRPr="002B720B">
        <w:rPr>
          <w:rFonts w:cs="Arial"/>
          <w:szCs w:val="22"/>
        </w:rPr>
        <w:t>sende und langfristige Nutzung von RE/EE</w:t>
      </w:r>
      <w:r w:rsidR="000D1C51">
        <w:rPr>
          <w:rFonts w:cs="Arial"/>
          <w:szCs w:val="22"/>
        </w:rPr>
        <w:t>-</w:t>
      </w:r>
      <w:r w:rsidRPr="002B720B">
        <w:rPr>
          <w:rFonts w:cs="Arial"/>
          <w:szCs w:val="22"/>
        </w:rPr>
        <w:t xml:space="preserve">Technologien in den MENA-Ländern (wie auch darüber hinaus) eine zentrale </w:t>
      </w:r>
      <w:r w:rsidRPr="002B720B">
        <w:rPr>
          <w:rFonts w:cs="Arial"/>
          <w:b/>
          <w:szCs w:val="22"/>
        </w:rPr>
        <w:t>Relevanz</w:t>
      </w:r>
      <w:r w:rsidRPr="002B720B">
        <w:rPr>
          <w:rFonts w:cs="Arial"/>
          <w:szCs w:val="22"/>
        </w:rPr>
        <w:t>. Ohne eine direkte Einbindung lokaler Akteure mit spürbaren Wohlstandseffekten für diese wird sich nur schwer die notwendige Akzeptanz he</w:t>
      </w:r>
      <w:r w:rsidRPr="002B720B">
        <w:rPr>
          <w:rFonts w:cs="Arial"/>
          <w:szCs w:val="22"/>
        </w:rPr>
        <w:t>r</w:t>
      </w:r>
      <w:r w:rsidRPr="002B720B">
        <w:rPr>
          <w:rFonts w:cs="Arial"/>
          <w:szCs w:val="22"/>
        </w:rPr>
        <w:t>stellen lassen. Da</w:t>
      </w:r>
      <w:r>
        <w:rPr>
          <w:rFonts w:cs="Arial"/>
          <w:szCs w:val="22"/>
        </w:rPr>
        <w:t>her</w:t>
      </w:r>
      <w:r w:rsidRPr="002B720B">
        <w:rPr>
          <w:rFonts w:cs="Arial"/>
          <w:szCs w:val="22"/>
        </w:rPr>
        <w:t xml:space="preserve"> müssen die Hürden insbesondere für KKMUs gesenkt werden, was am leichtesten über eine stärkere Nutzung verteilter Ansätze möglich ist. </w:t>
      </w:r>
      <w:r w:rsidR="006129A7" w:rsidRPr="002B720B">
        <w:rPr>
          <w:rFonts w:cs="Arial"/>
          <w:szCs w:val="22"/>
        </w:rPr>
        <w:t xml:space="preserve">Für den Erfolg eines solchen Ansatzes wird es jedoch entscheidend auf die Sicherung und Stärkung </w:t>
      </w:r>
      <w:r w:rsidR="006129A7">
        <w:rPr>
          <w:rFonts w:cs="Arial"/>
          <w:szCs w:val="22"/>
        </w:rPr>
        <w:t>der</w:t>
      </w:r>
      <w:r w:rsidR="006129A7" w:rsidRPr="002B720B">
        <w:rPr>
          <w:rFonts w:cs="Arial"/>
          <w:szCs w:val="22"/>
        </w:rPr>
        <w:t xml:space="preserve"> Qualität </w:t>
      </w:r>
      <w:r w:rsidR="006129A7">
        <w:rPr>
          <w:rFonts w:cs="Arial"/>
          <w:szCs w:val="22"/>
        </w:rPr>
        <w:t>von</w:t>
      </w:r>
      <w:r w:rsidR="006129A7" w:rsidRPr="002B720B">
        <w:rPr>
          <w:rFonts w:cs="Arial"/>
          <w:szCs w:val="22"/>
        </w:rPr>
        <w:t xml:space="preserve"> Produkten und Dienstleistungen </w:t>
      </w:r>
      <w:r w:rsidR="006129A7">
        <w:rPr>
          <w:rFonts w:cs="Arial"/>
          <w:szCs w:val="22"/>
        </w:rPr>
        <w:t xml:space="preserve">(Ausbildung, Planung, Installation, Wartung) </w:t>
      </w:r>
      <w:r w:rsidR="006129A7" w:rsidRPr="002B720B">
        <w:rPr>
          <w:rFonts w:cs="Arial"/>
          <w:szCs w:val="22"/>
        </w:rPr>
        <w:t>anko</w:t>
      </w:r>
      <w:r w:rsidR="006129A7" w:rsidRPr="002B720B">
        <w:rPr>
          <w:rFonts w:cs="Arial"/>
          <w:szCs w:val="22"/>
        </w:rPr>
        <w:t>m</w:t>
      </w:r>
      <w:r w:rsidR="006129A7" w:rsidRPr="002B720B">
        <w:rPr>
          <w:rFonts w:cs="Arial"/>
          <w:szCs w:val="22"/>
        </w:rPr>
        <w:t>men, was ohne kollektive und verbi</w:t>
      </w:r>
      <w:r w:rsidR="006129A7">
        <w:rPr>
          <w:rFonts w:cs="Arial"/>
          <w:szCs w:val="22"/>
        </w:rPr>
        <w:t>ndliche Qualitätsbildungs- und -</w:t>
      </w:r>
      <w:r w:rsidR="006129A7" w:rsidRPr="002B720B">
        <w:rPr>
          <w:rFonts w:cs="Arial"/>
          <w:szCs w:val="22"/>
        </w:rPr>
        <w:t xml:space="preserve">sicherungsmechanismen nicht möglich ist. </w:t>
      </w:r>
      <w:r w:rsidRPr="002B720B">
        <w:rPr>
          <w:rFonts w:cs="Arial"/>
          <w:szCs w:val="22"/>
        </w:rPr>
        <w:t>D</w:t>
      </w:r>
      <w:r>
        <w:rPr>
          <w:rFonts w:cs="Arial"/>
          <w:szCs w:val="22"/>
        </w:rPr>
        <w:t>as</w:t>
      </w:r>
      <w:r w:rsidRPr="002B720B">
        <w:rPr>
          <w:rFonts w:cs="Arial"/>
          <w:szCs w:val="22"/>
        </w:rPr>
        <w:t xml:space="preserve"> Them</w:t>
      </w:r>
      <w:r>
        <w:rPr>
          <w:rFonts w:cs="Arial"/>
          <w:szCs w:val="22"/>
        </w:rPr>
        <w:t>a</w:t>
      </w:r>
      <w:r w:rsidRPr="002B720B">
        <w:rPr>
          <w:rFonts w:cs="Arial"/>
          <w:szCs w:val="22"/>
        </w:rPr>
        <w:t xml:space="preserve"> </w:t>
      </w:r>
      <w:r>
        <w:rPr>
          <w:rFonts w:cs="Arial"/>
          <w:szCs w:val="22"/>
        </w:rPr>
        <w:t xml:space="preserve">Qualität </w:t>
      </w:r>
      <w:r w:rsidRPr="002B720B">
        <w:rPr>
          <w:rFonts w:cs="Arial"/>
          <w:szCs w:val="22"/>
        </w:rPr>
        <w:t>ha</w:t>
      </w:r>
      <w:r>
        <w:rPr>
          <w:rFonts w:cs="Arial"/>
          <w:szCs w:val="22"/>
        </w:rPr>
        <w:t>t</w:t>
      </w:r>
      <w:r w:rsidRPr="002B720B">
        <w:rPr>
          <w:rFonts w:cs="Arial"/>
          <w:szCs w:val="22"/>
        </w:rPr>
        <w:t xml:space="preserve"> daher prioritäre Bedeutung für das Vorhaben.</w:t>
      </w:r>
    </w:p>
    <w:p w:rsidR="009C07B4" w:rsidRPr="002B720B" w:rsidRDefault="00C93429" w:rsidP="009C07B4">
      <w:pPr>
        <w:autoSpaceDE w:val="0"/>
        <w:autoSpaceDN w:val="0"/>
        <w:adjustRightInd w:val="0"/>
        <w:spacing w:after="120"/>
        <w:jc w:val="both"/>
        <w:rPr>
          <w:rFonts w:cs="Arial"/>
          <w:szCs w:val="22"/>
        </w:rPr>
      </w:pPr>
      <w:r w:rsidRPr="002B720B">
        <w:rPr>
          <w:rFonts w:cs="Arial"/>
          <w:szCs w:val="22"/>
        </w:rPr>
        <w:t xml:space="preserve">Die </w:t>
      </w:r>
      <w:r w:rsidRPr="002B720B">
        <w:rPr>
          <w:rFonts w:cs="Arial"/>
          <w:b/>
          <w:bCs/>
          <w:szCs w:val="22"/>
        </w:rPr>
        <w:t xml:space="preserve">Effektivität </w:t>
      </w:r>
      <w:r w:rsidRPr="002B720B">
        <w:rPr>
          <w:rFonts w:cs="Arial"/>
          <w:szCs w:val="22"/>
        </w:rPr>
        <w:t>des Vorgehens beruht darin, dass die systematische Vernetzung relevanter Akteure über Länder- und Sektorgrenzen hinweg (bei der auch die Außen- wie die Inland</w:t>
      </w:r>
      <w:r w:rsidRPr="002B720B">
        <w:rPr>
          <w:rFonts w:cs="Arial"/>
          <w:szCs w:val="22"/>
        </w:rPr>
        <w:t>s</w:t>
      </w:r>
      <w:r w:rsidRPr="002B720B">
        <w:rPr>
          <w:rFonts w:cs="Arial"/>
          <w:szCs w:val="22"/>
        </w:rPr>
        <w:t>struktur der GIZ und der EZ im Allgemeinen eingebunden wird) die Identifizierung und Ko</w:t>
      </w:r>
      <w:r w:rsidRPr="002B720B">
        <w:rPr>
          <w:rFonts w:cs="Arial"/>
          <w:szCs w:val="22"/>
        </w:rPr>
        <w:t>m</w:t>
      </w:r>
      <w:r w:rsidRPr="002B720B">
        <w:rPr>
          <w:rFonts w:cs="Arial"/>
          <w:szCs w:val="22"/>
        </w:rPr>
        <w:t xml:space="preserve">munikation guter Praktiken zur Optimierung der beschäftigungs- und einkommensfördernden Effekte von RE/EE erheblich erleichtert, beschleunigt und in ihrer Breitenwirksamkeit stärkt. Dieses Vorgehen </w:t>
      </w:r>
      <w:r>
        <w:rPr>
          <w:rFonts w:cs="Arial"/>
          <w:szCs w:val="22"/>
        </w:rPr>
        <w:t xml:space="preserve">fördert </w:t>
      </w:r>
      <w:r w:rsidRPr="002B720B">
        <w:rPr>
          <w:rFonts w:cs="Arial"/>
          <w:szCs w:val="22"/>
        </w:rPr>
        <w:t xml:space="preserve">auch </w:t>
      </w:r>
      <w:r>
        <w:rPr>
          <w:rFonts w:cs="Arial"/>
          <w:szCs w:val="22"/>
        </w:rPr>
        <w:t>die</w:t>
      </w:r>
      <w:r w:rsidRPr="002B720B">
        <w:rPr>
          <w:rFonts w:cs="Arial"/>
          <w:szCs w:val="22"/>
        </w:rPr>
        <w:t xml:space="preserve"> </w:t>
      </w:r>
      <w:r w:rsidRPr="002B720B">
        <w:rPr>
          <w:rFonts w:cs="Arial"/>
          <w:b/>
          <w:szCs w:val="22"/>
        </w:rPr>
        <w:t>Effizienz</w:t>
      </w:r>
      <w:r w:rsidRPr="002B720B">
        <w:rPr>
          <w:rFonts w:cs="Arial"/>
          <w:szCs w:val="22"/>
        </w:rPr>
        <w:t>, indem für alle Beteiligten die Transaktionsko</w:t>
      </w:r>
      <w:r w:rsidRPr="002B720B">
        <w:rPr>
          <w:rFonts w:cs="Arial"/>
          <w:szCs w:val="22"/>
        </w:rPr>
        <w:t>s</w:t>
      </w:r>
      <w:r w:rsidRPr="002B720B">
        <w:rPr>
          <w:rFonts w:cs="Arial"/>
          <w:szCs w:val="22"/>
        </w:rPr>
        <w:t xml:space="preserve">ten bei der Suche bzw. der Produktion von Daten und Inputs gesenkt werden. Dies ist </w:t>
      </w:r>
      <w:r w:rsidR="006129A7">
        <w:rPr>
          <w:rFonts w:cs="Arial"/>
          <w:szCs w:val="22"/>
        </w:rPr>
        <w:t>umso</w:t>
      </w:r>
      <w:r w:rsidRPr="002B720B">
        <w:rPr>
          <w:rFonts w:cs="Arial"/>
          <w:szCs w:val="22"/>
        </w:rPr>
        <w:t xml:space="preserve"> relevant</w:t>
      </w:r>
      <w:r>
        <w:rPr>
          <w:rFonts w:cs="Arial"/>
          <w:szCs w:val="22"/>
        </w:rPr>
        <w:t>er</w:t>
      </w:r>
      <w:r w:rsidRPr="002B720B">
        <w:rPr>
          <w:rFonts w:cs="Arial"/>
          <w:szCs w:val="22"/>
        </w:rPr>
        <w:t xml:space="preserve">, </w:t>
      </w:r>
      <w:r>
        <w:rPr>
          <w:rFonts w:cs="Arial"/>
          <w:szCs w:val="22"/>
        </w:rPr>
        <w:t>als</w:t>
      </w:r>
      <w:r w:rsidRPr="002B720B">
        <w:rPr>
          <w:rFonts w:cs="Arial"/>
          <w:szCs w:val="22"/>
        </w:rPr>
        <w:t xml:space="preserve"> der Auf- und Ausbau sich selbst tragender und kostengünstiger Märkte für RE/EE weltweit relativ ähnlichen „Gesetzmäßigkeiten“ folgt. Gleichzeitig gibt es aber ang</w:t>
      </w:r>
      <w:r w:rsidRPr="002B720B">
        <w:rPr>
          <w:rFonts w:cs="Arial"/>
          <w:szCs w:val="22"/>
        </w:rPr>
        <w:t>e</w:t>
      </w:r>
      <w:r w:rsidRPr="002B720B">
        <w:rPr>
          <w:rFonts w:cs="Arial"/>
          <w:szCs w:val="22"/>
        </w:rPr>
        <w:t xml:space="preserve">sichts der rasanten technologischen und industriellen </w:t>
      </w:r>
      <w:r>
        <w:rPr>
          <w:rFonts w:cs="Arial"/>
          <w:szCs w:val="22"/>
        </w:rPr>
        <w:t xml:space="preserve">Entwicklung </w:t>
      </w:r>
      <w:r w:rsidRPr="002B720B">
        <w:rPr>
          <w:rFonts w:cs="Arial"/>
          <w:szCs w:val="22"/>
        </w:rPr>
        <w:t>keinen allgemein akze</w:t>
      </w:r>
      <w:r w:rsidRPr="002B720B">
        <w:rPr>
          <w:rFonts w:cs="Arial"/>
          <w:szCs w:val="22"/>
        </w:rPr>
        <w:t>p</w:t>
      </w:r>
      <w:r w:rsidRPr="002B720B">
        <w:rPr>
          <w:rFonts w:cs="Arial"/>
          <w:szCs w:val="22"/>
        </w:rPr>
        <w:t xml:space="preserve">tierten und etablierten </w:t>
      </w:r>
      <w:r>
        <w:rPr>
          <w:rFonts w:cs="Arial"/>
          <w:szCs w:val="22"/>
        </w:rPr>
        <w:t>„Wissensk</w:t>
      </w:r>
      <w:r w:rsidRPr="002B720B">
        <w:rPr>
          <w:rFonts w:cs="Arial"/>
          <w:szCs w:val="22"/>
        </w:rPr>
        <w:t>anon</w:t>
      </w:r>
      <w:r>
        <w:rPr>
          <w:rFonts w:cs="Arial"/>
          <w:szCs w:val="22"/>
        </w:rPr>
        <w:t>“</w:t>
      </w:r>
      <w:r w:rsidRPr="002B720B">
        <w:rPr>
          <w:rFonts w:cs="Arial"/>
          <w:szCs w:val="22"/>
        </w:rPr>
        <w:t xml:space="preserve">, d.h. vorhandenes Wissen muss jeden Tag aufs Neue einer kritischen Wertung unterzogen werden. Dies </w:t>
      </w:r>
      <w:r>
        <w:rPr>
          <w:rFonts w:cs="Arial"/>
          <w:szCs w:val="22"/>
        </w:rPr>
        <w:t>be</w:t>
      </w:r>
      <w:r w:rsidRPr="002B720B">
        <w:rPr>
          <w:rFonts w:cs="Arial"/>
          <w:szCs w:val="22"/>
        </w:rPr>
        <w:t>trifft ganz besonders die Frage, wie sich sozioökonomische Effekte von RE/EE optimieren lassen. Es ist daher weit rationaler, e</w:t>
      </w:r>
      <w:r w:rsidRPr="002B720B">
        <w:rPr>
          <w:rFonts w:cs="Arial"/>
          <w:szCs w:val="22"/>
        </w:rPr>
        <w:t>i</w:t>
      </w:r>
      <w:r w:rsidRPr="002B720B">
        <w:rPr>
          <w:rFonts w:cs="Arial"/>
          <w:szCs w:val="22"/>
        </w:rPr>
        <w:t>nen kooperativen, netzwerkbasierten Ansatz zu verfolgen, bei dem verfügbares oder entst</w:t>
      </w:r>
      <w:r w:rsidRPr="002B720B">
        <w:rPr>
          <w:rFonts w:cs="Arial"/>
          <w:szCs w:val="22"/>
        </w:rPr>
        <w:t>e</w:t>
      </w:r>
      <w:r w:rsidRPr="002B720B">
        <w:rPr>
          <w:rFonts w:cs="Arial"/>
          <w:szCs w:val="22"/>
        </w:rPr>
        <w:t xml:space="preserve">hendes Fach- und Erfahrungswissen über unterschiedliche Kanäle, inkl. </w:t>
      </w:r>
      <w:r>
        <w:rPr>
          <w:rFonts w:cs="Arial"/>
          <w:szCs w:val="22"/>
        </w:rPr>
        <w:t>i</w:t>
      </w:r>
      <w:r w:rsidRPr="002B720B">
        <w:rPr>
          <w:rFonts w:cs="Arial"/>
          <w:szCs w:val="22"/>
        </w:rPr>
        <w:t>nternet</w:t>
      </w:r>
      <w:r>
        <w:rPr>
          <w:rFonts w:cs="Arial"/>
          <w:szCs w:val="22"/>
        </w:rPr>
        <w:t>basierter D</w:t>
      </w:r>
      <w:r>
        <w:rPr>
          <w:rFonts w:cs="Arial"/>
          <w:szCs w:val="22"/>
        </w:rPr>
        <w:t>i</w:t>
      </w:r>
      <w:r>
        <w:rPr>
          <w:rFonts w:cs="Arial"/>
          <w:szCs w:val="22"/>
        </w:rPr>
        <w:t>alogp</w:t>
      </w:r>
      <w:r w:rsidRPr="002B720B">
        <w:rPr>
          <w:rFonts w:cs="Arial"/>
          <w:szCs w:val="22"/>
        </w:rPr>
        <w:t>lattformen, schnell</w:t>
      </w:r>
      <w:r>
        <w:rPr>
          <w:rFonts w:cs="Arial"/>
          <w:szCs w:val="22"/>
        </w:rPr>
        <w:t xml:space="preserve"> und</w:t>
      </w:r>
      <w:r w:rsidRPr="002B720B">
        <w:rPr>
          <w:rFonts w:cs="Arial"/>
          <w:szCs w:val="22"/>
        </w:rPr>
        <w:t xml:space="preserve"> kostengünstig</w:t>
      </w:r>
      <w:r>
        <w:rPr>
          <w:rFonts w:cs="Arial"/>
          <w:szCs w:val="22"/>
        </w:rPr>
        <w:t xml:space="preserve"> mobilisiert </w:t>
      </w:r>
      <w:r w:rsidRPr="002B720B">
        <w:rPr>
          <w:rFonts w:cs="Arial"/>
          <w:szCs w:val="22"/>
        </w:rPr>
        <w:t>wird, anstatt zeitgleich und unabhä</w:t>
      </w:r>
      <w:r w:rsidRPr="002B720B">
        <w:rPr>
          <w:rFonts w:cs="Arial"/>
          <w:szCs w:val="22"/>
        </w:rPr>
        <w:t>n</w:t>
      </w:r>
      <w:r w:rsidRPr="002B720B">
        <w:rPr>
          <w:rFonts w:cs="Arial"/>
          <w:szCs w:val="22"/>
        </w:rPr>
        <w:t>gig voneinander nach dem „</w:t>
      </w:r>
      <w:r w:rsidRPr="00051A30">
        <w:rPr>
          <w:rFonts w:cs="Arial"/>
          <w:i/>
          <w:szCs w:val="22"/>
        </w:rPr>
        <w:t>Trial-and-Error</w:t>
      </w:r>
      <w:r w:rsidRPr="002B720B">
        <w:rPr>
          <w:rFonts w:cs="Arial"/>
          <w:szCs w:val="22"/>
        </w:rPr>
        <w:t>“-Prinzip zu denselben Fragen zu arbeiten.</w:t>
      </w:r>
    </w:p>
    <w:p w:rsidR="009C07B4" w:rsidRDefault="00C93429" w:rsidP="009C07B4">
      <w:pPr>
        <w:autoSpaceDE w:val="0"/>
        <w:autoSpaceDN w:val="0"/>
        <w:adjustRightInd w:val="0"/>
        <w:spacing w:after="120"/>
        <w:jc w:val="both"/>
        <w:rPr>
          <w:rFonts w:cs="Arial"/>
          <w:szCs w:val="22"/>
        </w:rPr>
      </w:pPr>
      <w:r>
        <w:rPr>
          <w:rFonts w:cs="Arial"/>
          <w:szCs w:val="22"/>
        </w:rPr>
        <w:t>D</w:t>
      </w:r>
      <w:r w:rsidRPr="002B720B">
        <w:rPr>
          <w:rFonts w:cs="Arial"/>
          <w:szCs w:val="22"/>
        </w:rPr>
        <w:t xml:space="preserve">er Aufbau netzwerkbasierter Kooperationsbeziehungen </w:t>
      </w:r>
      <w:r>
        <w:rPr>
          <w:rFonts w:cs="Arial"/>
          <w:szCs w:val="22"/>
        </w:rPr>
        <w:t>mit „</w:t>
      </w:r>
      <w:r w:rsidRPr="00051A30">
        <w:rPr>
          <w:rFonts w:cs="Arial"/>
          <w:i/>
          <w:szCs w:val="22"/>
        </w:rPr>
        <w:t>Win-Win</w:t>
      </w:r>
      <w:r>
        <w:rPr>
          <w:rFonts w:cs="Arial"/>
          <w:szCs w:val="22"/>
        </w:rPr>
        <w:t>“-Effekten für alle B</w:t>
      </w:r>
      <w:r>
        <w:rPr>
          <w:rFonts w:cs="Arial"/>
          <w:szCs w:val="22"/>
        </w:rPr>
        <w:t>e</w:t>
      </w:r>
      <w:r>
        <w:rPr>
          <w:rFonts w:cs="Arial"/>
          <w:szCs w:val="22"/>
        </w:rPr>
        <w:t xml:space="preserve">teiligten dient </w:t>
      </w:r>
      <w:r w:rsidRPr="002B720B">
        <w:rPr>
          <w:rFonts w:cs="Arial"/>
          <w:szCs w:val="22"/>
        </w:rPr>
        <w:t xml:space="preserve">auch der langfristigen Absicherung der Projektergebnisse. Die </w:t>
      </w:r>
      <w:r w:rsidRPr="002B720B">
        <w:rPr>
          <w:rFonts w:cs="Arial"/>
          <w:b/>
          <w:szCs w:val="22"/>
        </w:rPr>
        <w:t>Nachhaltigkeit</w:t>
      </w:r>
      <w:r w:rsidRPr="002B720B">
        <w:rPr>
          <w:rFonts w:cs="Arial"/>
          <w:szCs w:val="22"/>
        </w:rPr>
        <w:t xml:space="preserve"> dieses Vorgehens hängt also in hohem Maße von der aktiven und substantiellen Beteiligung aller relevanten Akteure ab. Für die finanzielle Nachhaltigkeit wird es entscheidend darauf ankommen, Eigenbeiträge und Ownership bei den Beteiligten zu fördern und zu sichern.</w:t>
      </w:r>
    </w:p>
    <w:p w:rsidR="009C07B4" w:rsidRDefault="00C93429" w:rsidP="009C07B4">
      <w:pPr>
        <w:autoSpaceDE w:val="0"/>
        <w:autoSpaceDN w:val="0"/>
        <w:adjustRightInd w:val="0"/>
        <w:spacing w:after="120"/>
        <w:jc w:val="both"/>
        <w:rPr>
          <w:rFonts w:cs="Arial"/>
          <w:szCs w:val="22"/>
        </w:rPr>
      </w:pPr>
      <w:r>
        <w:rPr>
          <w:rFonts w:cs="Arial"/>
          <w:szCs w:val="22"/>
        </w:rPr>
        <w:t>Ris</w:t>
      </w:r>
      <w:r w:rsidR="00F144DE">
        <w:rPr>
          <w:rFonts w:cs="Arial"/>
          <w:szCs w:val="22"/>
        </w:rPr>
        <w:t>i</w:t>
      </w:r>
      <w:r>
        <w:rPr>
          <w:rFonts w:cs="Arial"/>
          <w:szCs w:val="22"/>
        </w:rPr>
        <w:t>ken</w:t>
      </w:r>
    </w:p>
    <w:p w:rsidR="00C302EE" w:rsidRDefault="00C93429" w:rsidP="009C07B4">
      <w:pPr>
        <w:autoSpaceDE w:val="0"/>
        <w:autoSpaceDN w:val="0"/>
        <w:adjustRightInd w:val="0"/>
        <w:spacing w:after="120"/>
        <w:jc w:val="both"/>
        <w:rPr>
          <w:rFonts w:cs="Arial"/>
          <w:szCs w:val="22"/>
        </w:rPr>
      </w:pPr>
      <w:r w:rsidRPr="002B720B">
        <w:rPr>
          <w:rFonts w:cs="Arial"/>
          <w:szCs w:val="22"/>
        </w:rPr>
        <w:t xml:space="preserve">Die </w:t>
      </w:r>
      <w:r>
        <w:rPr>
          <w:rFonts w:cs="Arial"/>
          <w:szCs w:val="22"/>
        </w:rPr>
        <w:t xml:space="preserve">gegenwärtigen </w:t>
      </w:r>
      <w:r w:rsidRPr="002B720B">
        <w:rPr>
          <w:rFonts w:cs="Arial"/>
          <w:szCs w:val="22"/>
        </w:rPr>
        <w:t>Veränderung</w:t>
      </w:r>
      <w:r>
        <w:rPr>
          <w:rFonts w:cs="Arial"/>
          <w:szCs w:val="22"/>
        </w:rPr>
        <w:t>en und Umbrüche</w:t>
      </w:r>
      <w:r w:rsidRPr="002B720B">
        <w:rPr>
          <w:rFonts w:cs="Arial"/>
          <w:szCs w:val="22"/>
        </w:rPr>
        <w:t xml:space="preserve"> </w:t>
      </w:r>
      <w:r>
        <w:rPr>
          <w:rFonts w:cs="Arial"/>
          <w:szCs w:val="22"/>
        </w:rPr>
        <w:t>im</w:t>
      </w:r>
      <w:r w:rsidRPr="002B720B">
        <w:rPr>
          <w:rFonts w:cs="Arial"/>
          <w:szCs w:val="22"/>
        </w:rPr>
        <w:t xml:space="preserve"> MENA-</w:t>
      </w:r>
      <w:r>
        <w:rPr>
          <w:rFonts w:cs="Arial"/>
          <w:szCs w:val="22"/>
        </w:rPr>
        <w:t>Raum</w:t>
      </w:r>
      <w:r w:rsidRPr="002B720B">
        <w:rPr>
          <w:rFonts w:cs="Arial"/>
          <w:szCs w:val="22"/>
        </w:rPr>
        <w:t xml:space="preserve"> sind </w:t>
      </w:r>
      <w:r>
        <w:rPr>
          <w:rFonts w:cs="Arial"/>
          <w:szCs w:val="22"/>
        </w:rPr>
        <w:t>v</w:t>
      </w:r>
      <w:r w:rsidRPr="002B720B">
        <w:rPr>
          <w:rFonts w:cs="Arial"/>
          <w:szCs w:val="22"/>
        </w:rPr>
        <w:t>on größter Bede</w:t>
      </w:r>
      <w:r w:rsidRPr="002B720B">
        <w:rPr>
          <w:rFonts w:cs="Arial"/>
          <w:szCs w:val="22"/>
        </w:rPr>
        <w:t>u</w:t>
      </w:r>
      <w:r w:rsidRPr="002B720B">
        <w:rPr>
          <w:rFonts w:cs="Arial"/>
          <w:szCs w:val="22"/>
        </w:rPr>
        <w:t xml:space="preserve">tung für das Vorhaben. Sie bergen </w:t>
      </w:r>
      <w:r>
        <w:rPr>
          <w:rFonts w:cs="Arial"/>
          <w:szCs w:val="22"/>
        </w:rPr>
        <w:t>große Chancen und Risiken</w:t>
      </w:r>
      <w:r w:rsidRPr="002B720B">
        <w:rPr>
          <w:rFonts w:cs="Arial"/>
          <w:szCs w:val="22"/>
        </w:rPr>
        <w:t xml:space="preserve">. Zu </w:t>
      </w:r>
      <w:r>
        <w:rPr>
          <w:rFonts w:cs="Arial"/>
          <w:szCs w:val="22"/>
        </w:rPr>
        <w:t>letzteren zählen</w:t>
      </w:r>
      <w:r w:rsidRPr="002B720B">
        <w:rPr>
          <w:rFonts w:cs="Arial"/>
          <w:szCs w:val="22"/>
        </w:rPr>
        <w:t xml:space="preserve"> - neben einer </w:t>
      </w:r>
      <w:r>
        <w:rPr>
          <w:rFonts w:cs="Arial"/>
          <w:szCs w:val="22"/>
        </w:rPr>
        <w:t>weiteren</w:t>
      </w:r>
      <w:r w:rsidRPr="002B720B">
        <w:rPr>
          <w:rFonts w:cs="Arial"/>
          <w:szCs w:val="22"/>
        </w:rPr>
        <w:t xml:space="preserve"> </w:t>
      </w:r>
      <w:r>
        <w:rPr>
          <w:rFonts w:cs="Arial"/>
          <w:szCs w:val="22"/>
        </w:rPr>
        <w:t xml:space="preserve">oder erneuten </w:t>
      </w:r>
      <w:r w:rsidRPr="002B720B">
        <w:rPr>
          <w:rFonts w:cs="Arial"/>
          <w:szCs w:val="22"/>
        </w:rPr>
        <w:t xml:space="preserve">Eskalation </w:t>
      </w:r>
      <w:r>
        <w:rPr>
          <w:rFonts w:cs="Arial"/>
          <w:szCs w:val="22"/>
        </w:rPr>
        <w:t xml:space="preserve">der inner- und zwischenstaatlichen </w:t>
      </w:r>
      <w:r w:rsidRPr="002B720B">
        <w:rPr>
          <w:rFonts w:cs="Arial"/>
          <w:szCs w:val="22"/>
        </w:rPr>
        <w:t xml:space="preserve">Konflikte – v.a. die mangelnde Unterstützung durch politische </w:t>
      </w:r>
      <w:r w:rsidR="006129A7" w:rsidRPr="002B720B">
        <w:rPr>
          <w:rFonts w:cs="Arial"/>
          <w:szCs w:val="22"/>
        </w:rPr>
        <w:t>Entscheidungsträger</w:t>
      </w:r>
      <w:r w:rsidRPr="002B720B">
        <w:rPr>
          <w:rFonts w:cs="Arial"/>
          <w:szCs w:val="22"/>
        </w:rPr>
        <w:t xml:space="preserve">; der aktive Widerstand mächtiger Vetospieler (v.a. der staatlichen Versorger); sowie die </w:t>
      </w:r>
      <w:r>
        <w:rPr>
          <w:rFonts w:cs="Arial"/>
          <w:szCs w:val="22"/>
        </w:rPr>
        <w:t>fehlende</w:t>
      </w:r>
      <w:r w:rsidRPr="002B720B">
        <w:rPr>
          <w:rFonts w:cs="Arial"/>
          <w:szCs w:val="22"/>
        </w:rPr>
        <w:t xml:space="preserve"> Mitwirkung privater </w:t>
      </w:r>
      <w:r>
        <w:rPr>
          <w:rFonts w:cs="Arial"/>
          <w:szCs w:val="22"/>
        </w:rPr>
        <w:t>oder</w:t>
      </w:r>
      <w:r w:rsidRPr="002B720B">
        <w:rPr>
          <w:rFonts w:cs="Arial"/>
          <w:szCs w:val="22"/>
        </w:rPr>
        <w:t xml:space="preserve"> öffentlicher Institutionen wegen divergierender Interessen und fehlender Kapazitäten.</w:t>
      </w:r>
    </w:p>
    <w:p w:rsidR="009C07B4" w:rsidRPr="002B720B" w:rsidRDefault="00C302EE" w:rsidP="009C07B4">
      <w:pPr>
        <w:autoSpaceDE w:val="0"/>
        <w:autoSpaceDN w:val="0"/>
        <w:adjustRightInd w:val="0"/>
        <w:spacing w:after="120"/>
        <w:jc w:val="both"/>
        <w:rPr>
          <w:rFonts w:cs="Arial"/>
          <w:szCs w:val="22"/>
        </w:rPr>
      </w:pPr>
      <w:r>
        <w:rPr>
          <w:rFonts w:cs="Arial"/>
          <w:szCs w:val="22"/>
        </w:rPr>
        <w:t>So wechselte in Tunesien im Berichtsze</w:t>
      </w:r>
      <w:r w:rsidR="00671F4C">
        <w:rPr>
          <w:rFonts w:cs="Arial"/>
          <w:szCs w:val="22"/>
        </w:rPr>
        <w:t xml:space="preserve">itraum zweimal der Minister und </w:t>
      </w:r>
      <w:r>
        <w:rPr>
          <w:rFonts w:cs="Arial"/>
          <w:szCs w:val="22"/>
        </w:rPr>
        <w:t>in der Zusamme</w:t>
      </w:r>
      <w:r>
        <w:rPr>
          <w:rFonts w:cs="Arial"/>
          <w:szCs w:val="22"/>
        </w:rPr>
        <w:t>n</w:t>
      </w:r>
      <w:r>
        <w:rPr>
          <w:rFonts w:cs="Arial"/>
          <w:szCs w:val="22"/>
        </w:rPr>
        <w:t xml:space="preserve">arbeit bei der Umsetzung des Gesetzes zur Erneuerbaren Energien </w:t>
      </w:r>
      <w:r w:rsidR="00671F4C">
        <w:rPr>
          <w:rFonts w:cs="Arial"/>
          <w:szCs w:val="22"/>
        </w:rPr>
        <w:t xml:space="preserve">konnte </w:t>
      </w:r>
      <w:r w:rsidR="00671F4C" w:rsidRPr="00671F4C">
        <w:rPr>
          <w:rFonts w:cs="Arial"/>
          <w:szCs w:val="22"/>
        </w:rPr>
        <w:t xml:space="preserve">der staatlich Energieversorger STEG </w:t>
      </w:r>
      <w:r w:rsidR="00671F4C">
        <w:rPr>
          <w:rFonts w:cs="Arial"/>
          <w:szCs w:val="22"/>
        </w:rPr>
        <w:t>auf markthemmende Beschränkungen</w:t>
      </w:r>
      <w:r>
        <w:rPr>
          <w:rFonts w:cs="Arial"/>
          <w:szCs w:val="22"/>
        </w:rPr>
        <w:t xml:space="preserve"> (</w:t>
      </w:r>
      <w:r w:rsidR="00671F4C">
        <w:rPr>
          <w:rFonts w:cs="Arial"/>
          <w:szCs w:val="22"/>
        </w:rPr>
        <w:t>z</w:t>
      </w:r>
      <w:r>
        <w:rPr>
          <w:rFonts w:cs="Arial"/>
          <w:szCs w:val="22"/>
        </w:rPr>
        <w:t>.B. Maximalkapazität pro Installation</w:t>
      </w:r>
      <w:r w:rsidR="00671F4C">
        <w:rPr>
          <w:rFonts w:cs="Arial"/>
          <w:szCs w:val="22"/>
        </w:rPr>
        <w:t xml:space="preserve">, kein Zusammenschluss verschiedener Firmen zur Abdeckung des Eigenbedarfs möglich, etc.) beharren. </w:t>
      </w:r>
    </w:p>
    <w:p w:rsidR="009C07B4" w:rsidRPr="002B720B" w:rsidRDefault="00C93429" w:rsidP="009C07B4">
      <w:pPr>
        <w:autoSpaceDE w:val="0"/>
        <w:autoSpaceDN w:val="0"/>
        <w:adjustRightInd w:val="0"/>
        <w:spacing w:after="120"/>
        <w:jc w:val="both"/>
        <w:rPr>
          <w:rFonts w:cs="Arial"/>
          <w:szCs w:val="22"/>
        </w:rPr>
      </w:pPr>
      <w:r w:rsidRPr="002B720B">
        <w:rPr>
          <w:rFonts w:cs="Arial"/>
          <w:szCs w:val="22"/>
        </w:rPr>
        <w:t>Das Gesamtrisiko für die Zielerreichung wird weiterhin mit ‚hoch’ bewertet.</w:t>
      </w:r>
    </w:p>
    <w:p w:rsidR="009C07B4" w:rsidRPr="002B720B" w:rsidRDefault="00C93429" w:rsidP="009C07B4">
      <w:pPr>
        <w:autoSpaceDE w:val="0"/>
        <w:autoSpaceDN w:val="0"/>
        <w:adjustRightInd w:val="0"/>
        <w:spacing w:after="120"/>
        <w:jc w:val="both"/>
        <w:rPr>
          <w:rFonts w:cs="Arial"/>
          <w:szCs w:val="22"/>
        </w:rPr>
      </w:pPr>
      <w:r w:rsidRPr="002B720B">
        <w:rPr>
          <w:rFonts w:cs="Arial"/>
          <w:szCs w:val="22"/>
        </w:rPr>
        <w:t>Die Beeinflussbarkeit der Risiken wird dagegen insgesamt als ‚gering’ erachtet.</w:t>
      </w:r>
    </w:p>
    <w:p w:rsidR="009C07B4" w:rsidRPr="002B720B" w:rsidRDefault="00C93429" w:rsidP="009C07B4">
      <w:pPr>
        <w:autoSpaceDE w:val="0"/>
        <w:autoSpaceDN w:val="0"/>
        <w:adjustRightInd w:val="0"/>
        <w:jc w:val="both"/>
        <w:rPr>
          <w:rFonts w:cs="Arial"/>
          <w:szCs w:val="22"/>
        </w:rPr>
      </w:pPr>
      <w:r w:rsidRPr="002B720B">
        <w:rPr>
          <w:rFonts w:cs="Arial"/>
          <w:szCs w:val="22"/>
        </w:rPr>
        <w:t>Allerdings kann das Vorhaben (in Abstimmung mit dem BMZ) flexibel auf eine Verschlecht</w:t>
      </w:r>
      <w:r w:rsidRPr="002B720B">
        <w:rPr>
          <w:rFonts w:cs="Arial"/>
          <w:szCs w:val="22"/>
        </w:rPr>
        <w:t>e</w:t>
      </w:r>
      <w:r w:rsidRPr="002B720B">
        <w:rPr>
          <w:rFonts w:cs="Arial"/>
          <w:szCs w:val="22"/>
        </w:rPr>
        <w:t xml:space="preserve">rung der </w:t>
      </w:r>
      <w:r>
        <w:rPr>
          <w:rFonts w:cs="Arial"/>
          <w:szCs w:val="22"/>
        </w:rPr>
        <w:t>L</w:t>
      </w:r>
      <w:r w:rsidRPr="002B720B">
        <w:rPr>
          <w:rFonts w:cs="Arial"/>
          <w:szCs w:val="22"/>
        </w:rPr>
        <w:t xml:space="preserve">age </w:t>
      </w:r>
      <w:r>
        <w:rPr>
          <w:rFonts w:cs="Arial"/>
          <w:szCs w:val="22"/>
        </w:rPr>
        <w:t>reagieren</w:t>
      </w:r>
      <w:r w:rsidRPr="002B720B">
        <w:rPr>
          <w:rFonts w:cs="Arial"/>
          <w:szCs w:val="22"/>
        </w:rPr>
        <w:t>, indem es z.B. geographische oder thematische Schwerpunkte ve</w:t>
      </w:r>
      <w:r w:rsidRPr="002B720B">
        <w:rPr>
          <w:rFonts w:cs="Arial"/>
          <w:szCs w:val="22"/>
        </w:rPr>
        <w:t>r</w:t>
      </w:r>
      <w:r w:rsidRPr="002B720B">
        <w:rPr>
          <w:rFonts w:cs="Arial"/>
          <w:szCs w:val="22"/>
        </w:rPr>
        <w:t>schiebt oder verstärkt über nationale und regionale Partnerorganisationen arbeitet.</w:t>
      </w:r>
    </w:p>
    <w:p w:rsidR="009C07B4" w:rsidRPr="002B720B" w:rsidRDefault="00C93429" w:rsidP="009C07B4">
      <w:pPr>
        <w:pStyle w:val="berschrift1"/>
        <w:jc w:val="both"/>
      </w:pPr>
      <w:bookmarkStart w:id="15" w:name="_Toc460339714"/>
      <w:r w:rsidRPr="002B720B">
        <w:t>B.3.</w:t>
      </w:r>
      <w:r w:rsidRPr="002B720B">
        <w:tab/>
        <w:t>Handlungsbedarf</w:t>
      </w:r>
      <w:bookmarkEnd w:id="15"/>
    </w:p>
    <w:p w:rsidR="009C07B4" w:rsidRPr="002B720B" w:rsidRDefault="00C93429" w:rsidP="009C07B4">
      <w:pPr>
        <w:autoSpaceDE w:val="0"/>
        <w:autoSpaceDN w:val="0"/>
        <w:adjustRightInd w:val="0"/>
        <w:spacing w:line="252" w:lineRule="auto"/>
        <w:jc w:val="both"/>
        <w:rPr>
          <w:b/>
        </w:rPr>
      </w:pPr>
      <w:r>
        <w:t>Kein Handlungsbedarf</w:t>
      </w:r>
    </w:p>
    <w:sectPr w:rsidR="009C07B4" w:rsidRPr="002B720B" w:rsidSect="009C07B4">
      <w:headerReference w:type="default" r:id="rId9"/>
      <w:footerReference w:type="default" r:id="rId10"/>
      <w:headerReference w:type="first" r:id="rId11"/>
      <w:footerReference w:type="first" r:id="rId12"/>
      <w:pgSz w:w="11906" w:h="16838" w:code="9"/>
      <w:pgMar w:top="2157" w:right="1418" w:bottom="1134" w:left="1418" w:header="425"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1180" w:rsidRDefault="00061180">
      <w:r>
        <w:separator/>
      </w:r>
    </w:p>
  </w:endnote>
  <w:endnote w:type="continuationSeparator" w:id="0">
    <w:p w:rsidR="00061180" w:rsidRDefault="000611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W1)">
    <w:altName w:val="Arial"/>
    <w:panose1 w:val="00000000000000000000"/>
    <w:charset w:val="00"/>
    <w:family w:val="swiss"/>
    <w:notTrueType/>
    <w:pitch w:val="variable"/>
    <w:sig w:usb0="00000003" w:usb1="00000000" w:usb2="00000000" w:usb3="00000000" w:csb0="00000001" w:csb1="00000000"/>
  </w:font>
  <w:font w:name="Times New (W1)">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2650" w:rsidRPr="008919E6" w:rsidRDefault="00E42650" w:rsidP="009C07B4">
    <w:pPr>
      <w:pStyle w:val="Fuzeile"/>
      <w:tabs>
        <w:tab w:val="left" w:pos="4095"/>
        <w:tab w:val="center" w:pos="4535"/>
      </w:tabs>
      <w:jc w:val="left"/>
    </w:pPr>
    <w:r>
      <w:tab/>
    </w:r>
    <w:r>
      <w:tab/>
    </w:r>
    <w:r w:rsidRPr="008919E6">
      <w:fldChar w:fldCharType="begin"/>
    </w:r>
    <w:r w:rsidRPr="008919E6">
      <w:instrText xml:space="preserve"> PAGE </w:instrText>
    </w:r>
    <w:r w:rsidRPr="008919E6">
      <w:fldChar w:fldCharType="separate"/>
    </w:r>
    <w:r w:rsidR="00693CCB">
      <w:rPr>
        <w:noProof/>
      </w:rPr>
      <w:t>20</w:t>
    </w:r>
    <w:r w:rsidRPr="008919E6">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2650" w:rsidRPr="008A782D" w:rsidRDefault="00E42650" w:rsidP="009C07B4">
    <w:pPr>
      <w:pStyle w:val="Fuzeile"/>
      <w:rPr>
        <w:sz w:val="18"/>
        <w:szCs w:val="18"/>
      </w:rPr>
    </w:pPr>
    <w:r w:rsidRPr="00C17D09">
      <w:rPr>
        <w:sz w:val="14"/>
        <w:szCs w:val="14"/>
      </w:rPr>
      <w:t>Form 24-2</w:t>
    </w:r>
    <w:r>
      <w:rPr>
        <w:sz w:val="14"/>
        <w:szCs w:val="14"/>
      </w:rPr>
      <w:t>9</w:t>
    </w:r>
    <w:r w:rsidRPr="00C17D09">
      <w:rPr>
        <w:sz w:val="14"/>
        <w:szCs w:val="14"/>
      </w:rPr>
      <w:t>-</w:t>
    </w:r>
    <w:r>
      <w:rPr>
        <w:sz w:val="14"/>
        <w:szCs w:val="14"/>
      </w:rPr>
      <w:t>7-de</w:t>
    </w:r>
    <w:r w:rsidRPr="008A782D">
      <w:rPr>
        <w:sz w:val="18"/>
        <w:szCs w:val="18"/>
      </w:rPr>
      <w:tab/>
    </w:r>
    <w:r w:rsidRPr="008A782D">
      <w:rPr>
        <w:sz w:val="18"/>
        <w:szCs w:val="18"/>
      </w:rPr>
      <w:fldChar w:fldCharType="begin"/>
    </w:r>
    <w:r w:rsidRPr="008A782D">
      <w:rPr>
        <w:sz w:val="18"/>
        <w:szCs w:val="18"/>
      </w:rPr>
      <w:instrText xml:space="preserve"> PAGE </w:instrText>
    </w:r>
    <w:r w:rsidRPr="008A782D">
      <w:rPr>
        <w:sz w:val="18"/>
        <w:szCs w:val="18"/>
      </w:rPr>
      <w:fldChar w:fldCharType="separate"/>
    </w:r>
    <w:r w:rsidR="002A1483">
      <w:rPr>
        <w:noProof/>
        <w:sz w:val="18"/>
        <w:szCs w:val="18"/>
      </w:rPr>
      <w:t>1</w:t>
    </w:r>
    <w:r w:rsidRPr="008A782D">
      <w:rPr>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1180" w:rsidRDefault="00061180">
      <w:r>
        <w:separator/>
      </w:r>
    </w:p>
  </w:footnote>
  <w:footnote w:type="continuationSeparator" w:id="0">
    <w:p w:rsidR="00061180" w:rsidRDefault="000611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0A0" w:firstRow="1" w:lastRow="0" w:firstColumn="1" w:lastColumn="0" w:noHBand="0" w:noVBand="0"/>
    </w:tblPr>
    <w:tblGrid>
      <w:gridCol w:w="7560"/>
      <w:gridCol w:w="1512"/>
    </w:tblGrid>
    <w:tr w:rsidR="00E42650">
      <w:tc>
        <w:tcPr>
          <w:tcW w:w="7560" w:type="dxa"/>
          <w:vAlign w:val="center"/>
        </w:tcPr>
        <w:p w:rsidR="00E42650" w:rsidRPr="005838C4" w:rsidRDefault="00E42650" w:rsidP="009C07B4">
          <w:pPr>
            <w:pStyle w:val="TitelKopfzeile"/>
            <w:spacing w:before="0" w:after="0"/>
          </w:pPr>
          <w:r w:rsidRPr="005838C4">
            <w:rPr>
              <w:szCs w:val="22"/>
            </w:rPr>
            <w:t>Beschäftigungsförderung durch Erneuerbare Energie und Energieeffiz</w:t>
          </w:r>
          <w:r w:rsidRPr="005838C4">
            <w:rPr>
              <w:szCs w:val="22"/>
            </w:rPr>
            <w:t>i</w:t>
          </w:r>
          <w:r w:rsidRPr="005838C4">
            <w:rPr>
              <w:szCs w:val="22"/>
            </w:rPr>
            <w:t xml:space="preserve">enz in der MENA Region (RE-ACTIVATE), </w:t>
          </w:r>
          <w:r w:rsidRPr="005838C4">
            <w:t>PN: 2013.2020.9</w:t>
          </w:r>
        </w:p>
      </w:tc>
      <w:tc>
        <w:tcPr>
          <w:tcW w:w="1512" w:type="dxa"/>
        </w:tcPr>
        <w:p w:rsidR="00E42650" w:rsidRDefault="00E42650" w:rsidP="009C07B4">
          <w:pPr>
            <w:pStyle w:val="Kopfzeile"/>
            <w:tabs>
              <w:tab w:val="clear" w:pos="9072"/>
            </w:tabs>
            <w:ind w:right="-283"/>
            <w:jc w:val="right"/>
            <w:rPr>
              <w:rFonts w:cs="Arial"/>
              <w:szCs w:val="22"/>
            </w:rPr>
          </w:pPr>
          <w:r>
            <w:rPr>
              <w:rFonts w:cs="Arial"/>
              <w:noProof/>
              <w:szCs w:val="22"/>
            </w:rPr>
            <w:drawing>
              <wp:inline distT="0" distB="0" distL="0" distR="0" wp14:anchorId="7BDFBBE9" wp14:editId="5138E409">
                <wp:extent cx="900000" cy="900000"/>
                <wp:effectExtent l="0" t="0" r="0" b="0"/>
                <wp:docPr id="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tzlogo-standard-sw"/>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900000" cy="900000"/>
                        </a:xfrm>
                        <a:prstGeom prst="rect">
                          <a:avLst/>
                        </a:prstGeom>
                        <a:noFill/>
                        <a:ln w="9525">
                          <a:noFill/>
                          <a:miter lim="800000"/>
                          <a:headEnd/>
                          <a:tailEnd/>
                        </a:ln>
                      </pic:spPr>
                    </pic:pic>
                  </a:graphicData>
                </a:graphic>
              </wp:inline>
            </w:drawing>
          </w:r>
        </w:p>
      </w:tc>
    </w:tr>
  </w:tbl>
  <w:p w:rsidR="00E42650" w:rsidRPr="0012743D" w:rsidRDefault="00E42650" w:rsidP="009C07B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072" w:type="dxa"/>
      <w:tblLayout w:type="fixed"/>
      <w:tblCellMar>
        <w:left w:w="0" w:type="dxa"/>
        <w:right w:w="0" w:type="dxa"/>
      </w:tblCellMar>
      <w:tblLook w:val="00A0" w:firstRow="1" w:lastRow="0" w:firstColumn="1" w:lastColumn="0" w:noHBand="0" w:noVBand="0"/>
    </w:tblPr>
    <w:tblGrid>
      <w:gridCol w:w="7338"/>
      <w:gridCol w:w="1734"/>
    </w:tblGrid>
    <w:tr w:rsidR="00E42650" w:rsidRPr="00C7317B">
      <w:tc>
        <w:tcPr>
          <w:tcW w:w="7338" w:type="dxa"/>
        </w:tcPr>
        <w:p w:rsidR="00E42650" w:rsidRPr="0014383B" w:rsidRDefault="00E42650" w:rsidP="009C07B4">
          <w:pPr>
            <w:pStyle w:val="Kopfzeile"/>
            <w:tabs>
              <w:tab w:val="clear" w:pos="9072"/>
            </w:tabs>
            <w:spacing w:before="600" w:after="240"/>
            <w:rPr>
              <w:b/>
              <w:bCs/>
              <w:szCs w:val="22"/>
            </w:rPr>
          </w:pPr>
          <w:r w:rsidRPr="0014383B">
            <w:rPr>
              <w:rFonts w:ascii="Arial (W1)" w:hAnsi="Arial (W1)" w:cs="Times New (W1)"/>
              <w:b/>
              <w:bCs/>
              <w:szCs w:val="22"/>
            </w:rPr>
            <w:t xml:space="preserve">Fortschrittsbericht zu einer </w:t>
          </w:r>
          <w:r>
            <w:rPr>
              <w:rFonts w:ascii="Arial (W1)" w:hAnsi="Arial (W1)" w:cs="Times New (W1)"/>
              <w:b/>
              <w:bCs/>
              <w:szCs w:val="22"/>
            </w:rPr>
            <w:t xml:space="preserve">alleinstehenden </w:t>
          </w:r>
          <w:r w:rsidRPr="0014383B">
            <w:rPr>
              <w:rFonts w:ascii="Arial (W1)" w:hAnsi="Arial (W1)" w:cs="Times New (W1)"/>
              <w:b/>
              <w:bCs/>
              <w:szCs w:val="22"/>
            </w:rPr>
            <w:t>TZ-</w:t>
          </w:r>
          <w:r>
            <w:rPr>
              <w:rFonts w:ascii="Arial (W1)" w:hAnsi="Arial (W1)" w:cs="Times New (W1)"/>
              <w:b/>
              <w:bCs/>
              <w:szCs w:val="22"/>
            </w:rPr>
            <w:t>M</w:t>
          </w:r>
          <w:r w:rsidRPr="0014383B">
            <w:rPr>
              <w:rFonts w:ascii="Arial (W1)" w:hAnsi="Arial (W1)" w:cs="Times New (W1)"/>
              <w:b/>
              <w:bCs/>
              <w:szCs w:val="22"/>
            </w:rPr>
            <w:t>aßnahme</w:t>
          </w:r>
        </w:p>
      </w:tc>
      <w:tc>
        <w:tcPr>
          <w:tcW w:w="1734" w:type="dxa"/>
        </w:tcPr>
        <w:p w:rsidR="00E42650" w:rsidRPr="00C7317B" w:rsidRDefault="00E42650" w:rsidP="009C07B4">
          <w:pPr>
            <w:pStyle w:val="Kopfzeile"/>
            <w:tabs>
              <w:tab w:val="clear" w:pos="9072"/>
            </w:tabs>
            <w:ind w:right="-283"/>
            <w:jc w:val="right"/>
            <w:rPr>
              <w:rFonts w:cs="Arial"/>
              <w:szCs w:val="22"/>
            </w:rPr>
          </w:pPr>
          <w:r>
            <w:rPr>
              <w:rFonts w:cs="Arial"/>
              <w:noProof/>
              <w:szCs w:val="22"/>
            </w:rPr>
            <w:drawing>
              <wp:inline distT="0" distB="0" distL="0" distR="0" wp14:anchorId="0E9119FE" wp14:editId="6F9EEE40">
                <wp:extent cx="900000" cy="900000"/>
                <wp:effectExtent l="0" t="0" r="0" b="0"/>
                <wp:docPr id="4"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tzlogo-standard-sw"/>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900000" cy="900000"/>
                        </a:xfrm>
                        <a:prstGeom prst="rect">
                          <a:avLst/>
                        </a:prstGeom>
                        <a:noFill/>
                        <a:ln w="9525">
                          <a:noFill/>
                          <a:miter lim="800000"/>
                          <a:headEnd/>
                          <a:tailEnd/>
                        </a:ln>
                      </pic:spPr>
                    </pic:pic>
                  </a:graphicData>
                </a:graphic>
              </wp:inline>
            </w:drawing>
          </w:r>
        </w:p>
      </w:tc>
    </w:tr>
  </w:tbl>
  <w:p w:rsidR="00E42650" w:rsidRPr="003B7068" w:rsidRDefault="00E42650" w:rsidP="009C07B4">
    <w:pPr>
      <w:pStyle w:val="Kopfzeile"/>
      <w:spacing w:before="480"/>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35DFE"/>
    <w:multiLevelType w:val="hybridMultilevel"/>
    <w:tmpl w:val="2684E6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5F81E40"/>
    <w:multiLevelType w:val="hybridMultilevel"/>
    <w:tmpl w:val="53E01EBC"/>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nsid w:val="0A977AE8"/>
    <w:multiLevelType w:val="hybridMultilevel"/>
    <w:tmpl w:val="88605E3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0AEF11AB"/>
    <w:multiLevelType w:val="hybridMultilevel"/>
    <w:tmpl w:val="2020B508"/>
    <w:lvl w:ilvl="0" w:tplc="480A3BD2">
      <w:numFmt w:val="bullet"/>
      <w:lvlText w:val="-"/>
      <w:lvlJc w:val="left"/>
      <w:pPr>
        <w:ind w:left="720" w:hanging="360"/>
      </w:pPr>
      <w:rPr>
        <w:rFonts w:ascii="Calibri" w:eastAsiaTheme="minorHAnsi" w:hAnsi="Calibri" w:cstheme="maj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0E737B37"/>
    <w:multiLevelType w:val="hybridMultilevel"/>
    <w:tmpl w:val="930A52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1219091C"/>
    <w:multiLevelType w:val="hybridMultilevel"/>
    <w:tmpl w:val="385A3706"/>
    <w:lvl w:ilvl="0" w:tplc="480A3BD2">
      <w:numFmt w:val="bullet"/>
      <w:lvlText w:val="-"/>
      <w:lvlJc w:val="left"/>
      <w:pPr>
        <w:ind w:left="720" w:hanging="360"/>
      </w:pPr>
      <w:rPr>
        <w:rFonts w:ascii="Calibri" w:eastAsiaTheme="minorHAnsi" w:hAnsi="Calibri" w:cstheme="maj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12E22A85"/>
    <w:multiLevelType w:val="hybridMultilevel"/>
    <w:tmpl w:val="88E2D668"/>
    <w:lvl w:ilvl="0" w:tplc="04070001">
      <w:start w:val="1"/>
      <w:numFmt w:val="bullet"/>
      <w:lvlText w:val=""/>
      <w:lvlJc w:val="left"/>
      <w:pPr>
        <w:ind w:left="360" w:hanging="360"/>
      </w:pPr>
      <w:rPr>
        <w:rFonts w:ascii="Symbol" w:hAnsi="Symbol" w:hint="default"/>
      </w:rPr>
    </w:lvl>
    <w:lvl w:ilvl="1" w:tplc="0407000F">
      <w:start w:val="1"/>
      <w:numFmt w:val="decimal"/>
      <w:lvlText w:val="%2."/>
      <w:lvlJc w:val="left"/>
      <w:pPr>
        <w:ind w:left="1080" w:hanging="360"/>
      </w:pPr>
      <w:rPr>
        <w:rFonts w:hint="default"/>
      </w:rPr>
    </w:lvl>
    <w:lvl w:ilvl="2" w:tplc="04070019">
      <w:start w:val="1"/>
      <w:numFmt w:val="lowerLetter"/>
      <w:lvlText w:val="%3."/>
      <w:lvlJc w:val="left"/>
      <w:pPr>
        <w:ind w:left="1800" w:hanging="360"/>
      </w:pPr>
      <w:rPr>
        <w:rFont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nsid w:val="1C691AEA"/>
    <w:multiLevelType w:val="hybridMultilevel"/>
    <w:tmpl w:val="AFA85144"/>
    <w:lvl w:ilvl="0" w:tplc="04070001">
      <w:start w:val="1"/>
      <w:numFmt w:val="bullet"/>
      <w:lvlText w:val=""/>
      <w:lvlJc w:val="left"/>
      <w:pPr>
        <w:ind w:left="720" w:hanging="360"/>
      </w:pPr>
      <w:rPr>
        <w:rFonts w:ascii="Symbol" w:hAnsi="Symbol" w:hint="default"/>
      </w:rPr>
    </w:lvl>
    <w:lvl w:ilvl="1" w:tplc="0407000B">
      <w:start w:val="1"/>
      <w:numFmt w:val="bullet"/>
      <w:lvlText w:val=""/>
      <w:lvlJc w:val="left"/>
      <w:pPr>
        <w:ind w:left="1440" w:hanging="360"/>
      </w:pPr>
      <w:rPr>
        <w:rFonts w:ascii="Wingdings" w:hAnsi="Wingdings"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234D6E24"/>
    <w:multiLevelType w:val="hybridMultilevel"/>
    <w:tmpl w:val="D90A0E46"/>
    <w:lvl w:ilvl="0" w:tplc="A220263A">
      <w:start w:val="1"/>
      <w:numFmt w:val="lowerLetter"/>
      <w:lvlText w:val="%1)"/>
      <w:lvlJc w:val="left"/>
      <w:pPr>
        <w:ind w:left="1211" w:hanging="360"/>
      </w:pPr>
      <w:rPr>
        <w:rFonts w:hint="default"/>
      </w:rPr>
    </w:lvl>
    <w:lvl w:ilvl="1" w:tplc="04070019" w:tentative="1">
      <w:start w:val="1"/>
      <w:numFmt w:val="lowerLetter"/>
      <w:lvlText w:val="%2."/>
      <w:lvlJc w:val="left"/>
      <w:pPr>
        <w:ind w:left="1931" w:hanging="360"/>
      </w:pPr>
    </w:lvl>
    <w:lvl w:ilvl="2" w:tplc="0407001B" w:tentative="1">
      <w:start w:val="1"/>
      <w:numFmt w:val="lowerRoman"/>
      <w:lvlText w:val="%3."/>
      <w:lvlJc w:val="right"/>
      <w:pPr>
        <w:ind w:left="2651" w:hanging="180"/>
      </w:pPr>
    </w:lvl>
    <w:lvl w:ilvl="3" w:tplc="0407000F" w:tentative="1">
      <w:start w:val="1"/>
      <w:numFmt w:val="decimal"/>
      <w:lvlText w:val="%4."/>
      <w:lvlJc w:val="left"/>
      <w:pPr>
        <w:ind w:left="3371" w:hanging="360"/>
      </w:pPr>
    </w:lvl>
    <w:lvl w:ilvl="4" w:tplc="04070019" w:tentative="1">
      <w:start w:val="1"/>
      <w:numFmt w:val="lowerLetter"/>
      <w:lvlText w:val="%5."/>
      <w:lvlJc w:val="left"/>
      <w:pPr>
        <w:ind w:left="4091" w:hanging="360"/>
      </w:pPr>
    </w:lvl>
    <w:lvl w:ilvl="5" w:tplc="0407001B" w:tentative="1">
      <w:start w:val="1"/>
      <w:numFmt w:val="lowerRoman"/>
      <w:lvlText w:val="%6."/>
      <w:lvlJc w:val="right"/>
      <w:pPr>
        <w:ind w:left="4811" w:hanging="180"/>
      </w:pPr>
    </w:lvl>
    <w:lvl w:ilvl="6" w:tplc="0407000F" w:tentative="1">
      <w:start w:val="1"/>
      <w:numFmt w:val="decimal"/>
      <w:lvlText w:val="%7."/>
      <w:lvlJc w:val="left"/>
      <w:pPr>
        <w:ind w:left="5531" w:hanging="360"/>
      </w:pPr>
    </w:lvl>
    <w:lvl w:ilvl="7" w:tplc="04070019" w:tentative="1">
      <w:start w:val="1"/>
      <w:numFmt w:val="lowerLetter"/>
      <w:lvlText w:val="%8."/>
      <w:lvlJc w:val="left"/>
      <w:pPr>
        <w:ind w:left="6251" w:hanging="360"/>
      </w:pPr>
    </w:lvl>
    <w:lvl w:ilvl="8" w:tplc="0407001B" w:tentative="1">
      <w:start w:val="1"/>
      <w:numFmt w:val="lowerRoman"/>
      <w:lvlText w:val="%9."/>
      <w:lvlJc w:val="right"/>
      <w:pPr>
        <w:ind w:left="6971" w:hanging="180"/>
      </w:pPr>
    </w:lvl>
  </w:abstractNum>
  <w:abstractNum w:abstractNumId="9">
    <w:nsid w:val="24760C8D"/>
    <w:multiLevelType w:val="hybridMultilevel"/>
    <w:tmpl w:val="5D5043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25137F37"/>
    <w:multiLevelType w:val="hybridMultilevel"/>
    <w:tmpl w:val="FBE4164E"/>
    <w:lvl w:ilvl="0" w:tplc="0854BB6E">
      <w:start w:val="11"/>
      <w:numFmt w:val="bullet"/>
      <w:lvlText w:val="-"/>
      <w:lvlJc w:val="left"/>
      <w:pPr>
        <w:ind w:left="644" w:hanging="360"/>
      </w:pPr>
      <w:rPr>
        <w:rFonts w:ascii="Arial" w:eastAsia="Times New Roman" w:hAnsi="Arial" w:cs="Arial" w:hint="default"/>
      </w:rPr>
    </w:lvl>
    <w:lvl w:ilvl="1" w:tplc="04070003" w:tentative="1">
      <w:start w:val="1"/>
      <w:numFmt w:val="bullet"/>
      <w:lvlText w:val="o"/>
      <w:lvlJc w:val="left"/>
      <w:pPr>
        <w:ind w:left="1364" w:hanging="360"/>
      </w:pPr>
      <w:rPr>
        <w:rFonts w:ascii="Courier New" w:hAnsi="Courier New" w:cs="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11">
    <w:nsid w:val="27F81931"/>
    <w:multiLevelType w:val="hybridMultilevel"/>
    <w:tmpl w:val="3CEEECBE"/>
    <w:lvl w:ilvl="0" w:tplc="F19EF8EA">
      <w:start w:val="1"/>
      <w:numFmt w:val="bullet"/>
      <w:lvlText w:val=""/>
      <w:lvlJc w:val="left"/>
      <w:pPr>
        <w:tabs>
          <w:tab w:val="num" w:pos="720"/>
        </w:tabs>
        <w:ind w:left="720" w:hanging="360"/>
      </w:pPr>
      <w:rPr>
        <w:rFonts w:ascii="Wingdings" w:hAnsi="Wingdings" w:hint="default"/>
      </w:rPr>
    </w:lvl>
    <w:lvl w:ilvl="1" w:tplc="0407000B">
      <w:start w:val="1"/>
      <w:numFmt w:val="bullet"/>
      <w:lvlText w:val=""/>
      <w:lvlJc w:val="left"/>
      <w:pPr>
        <w:tabs>
          <w:tab w:val="num" w:pos="1440"/>
        </w:tabs>
        <w:ind w:left="1440" w:hanging="360"/>
      </w:pPr>
      <w:rPr>
        <w:rFonts w:ascii="Wingdings" w:hAnsi="Wingdings" w:hint="default"/>
      </w:rPr>
    </w:lvl>
    <w:lvl w:ilvl="2" w:tplc="5EAE9574" w:tentative="1">
      <w:start w:val="1"/>
      <w:numFmt w:val="bullet"/>
      <w:lvlText w:val=""/>
      <w:lvlJc w:val="left"/>
      <w:pPr>
        <w:tabs>
          <w:tab w:val="num" w:pos="2160"/>
        </w:tabs>
        <w:ind w:left="2160" w:hanging="360"/>
      </w:pPr>
      <w:rPr>
        <w:rFonts w:ascii="Wingdings" w:hAnsi="Wingdings" w:hint="default"/>
      </w:rPr>
    </w:lvl>
    <w:lvl w:ilvl="3" w:tplc="FF90CB24" w:tentative="1">
      <w:start w:val="1"/>
      <w:numFmt w:val="bullet"/>
      <w:lvlText w:val=""/>
      <w:lvlJc w:val="left"/>
      <w:pPr>
        <w:tabs>
          <w:tab w:val="num" w:pos="2880"/>
        </w:tabs>
        <w:ind w:left="2880" w:hanging="360"/>
      </w:pPr>
      <w:rPr>
        <w:rFonts w:ascii="Wingdings" w:hAnsi="Wingdings" w:hint="default"/>
      </w:rPr>
    </w:lvl>
    <w:lvl w:ilvl="4" w:tplc="A2B6C6A6" w:tentative="1">
      <w:start w:val="1"/>
      <w:numFmt w:val="bullet"/>
      <w:lvlText w:val=""/>
      <w:lvlJc w:val="left"/>
      <w:pPr>
        <w:tabs>
          <w:tab w:val="num" w:pos="3600"/>
        </w:tabs>
        <w:ind w:left="3600" w:hanging="360"/>
      </w:pPr>
      <w:rPr>
        <w:rFonts w:ascii="Wingdings" w:hAnsi="Wingdings" w:hint="default"/>
      </w:rPr>
    </w:lvl>
    <w:lvl w:ilvl="5" w:tplc="864A5C36" w:tentative="1">
      <w:start w:val="1"/>
      <w:numFmt w:val="bullet"/>
      <w:lvlText w:val=""/>
      <w:lvlJc w:val="left"/>
      <w:pPr>
        <w:tabs>
          <w:tab w:val="num" w:pos="4320"/>
        </w:tabs>
        <w:ind w:left="4320" w:hanging="360"/>
      </w:pPr>
      <w:rPr>
        <w:rFonts w:ascii="Wingdings" w:hAnsi="Wingdings" w:hint="default"/>
      </w:rPr>
    </w:lvl>
    <w:lvl w:ilvl="6" w:tplc="19E25462" w:tentative="1">
      <w:start w:val="1"/>
      <w:numFmt w:val="bullet"/>
      <w:lvlText w:val=""/>
      <w:lvlJc w:val="left"/>
      <w:pPr>
        <w:tabs>
          <w:tab w:val="num" w:pos="5040"/>
        </w:tabs>
        <w:ind w:left="5040" w:hanging="360"/>
      </w:pPr>
      <w:rPr>
        <w:rFonts w:ascii="Wingdings" w:hAnsi="Wingdings" w:hint="default"/>
      </w:rPr>
    </w:lvl>
    <w:lvl w:ilvl="7" w:tplc="98E4DA26" w:tentative="1">
      <w:start w:val="1"/>
      <w:numFmt w:val="bullet"/>
      <w:lvlText w:val=""/>
      <w:lvlJc w:val="left"/>
      <w:pPr>
        <w:tabs>
          <w:tab w:val="num" w:pos="5760"/>
        </w:tabs>
        <w:ind w:left="5760" w:hanging="360"/>
      </w:pPr>
      <w:rPr>
        <w:rFonts w:ascii="Wingdings" w:hAnsi="Wingdings" w:hint="default"/>
      </w:rPr>
    </w:lvl>
    <w:lvl w:ilvl="8" w:tplc="70E69134" w:tentative="1">
      <w:start w:val="1"/>
      <w:numFmt w:val="bullet"/>
      <w:lvlText w:val=""/>
      <w:lvlJc w:val="left"/>
      <w:pPr>
        <w:tabs>
          <w:tab w:val="num" w:pos="6480"/>
        </w:tabs>
        <w:ind w:left="6480" w:hanging="360"/>
      </w:pPr>
      <w:rPr>
        <w:rFonts w:ascii="Wingdings" w:hAnsi="Wingdings" w:hint="default"/>
      </w:rPr>
    </w:lvl>
  </w:abstractNum>
  <w:abstractNum w:abstractNumId="12">
    <w:nsid w:val="313C07F5"/>
    <w:multiLevelType w:val="hybridMultilevel"/>
    <w:tmpl w:val="FD6E3138"/>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13">
    <w:nsid w:val="3D1C2BAC"/>
    <w:multiLevelType w:val="hybridMultilevel"/>
    <w:tmpl w:val="5ED23ACC"/>
    <w:lvl w:ilvl="0" w:tplc="480A3BD2">
      <w:numFmt w:val="bullet"/>
      <w:lvlText w:val="-"/>
      <w:lvlJc w:val="left"/>
      <w:pPr>
        <w:ind w:left="720" w:hanging="360"/>
      </w:pPr>
      <w:rPr>
        <w:rFonts w:ascii="Calibri" w:eastAsiaTheme="minorHAnsi" w:hAnsi="Calibri" w:cstheme="maj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454B0B2C"/>
    <w:multiLevelType w:val="hybridMultilevel"/>
    <w:tmpl w:val="4B50C99E"/>
    <w:lvl w:ilvl="0" w:tplc="443E6912">
      <w:start w:val="1"/>
      <w:numFmt w:val="bullet"/>
      <w:lvlText w:val=""/>
      <w:lvlJc w:val="left"/>
      <w:pPr>
        <w:tabs>
          <w:tab w:val="num" w:pos="720"/>
        </w:tabs>
        <w:ind w:left="720" w:hanging="360"/>
      </w:pPr>
      <w:rPr>
        <w:rFonts w:ascii="Wingdings" w:hAnsi="Wingdings" w:hint="default"/>
      </w:rPr>
    </w:lvl>
    <w:lvl w:ilvl="1" w:tplc="0407000B">
      <w:start w:val="1"/>
      <w:numFmt w:val="bullet"/>
      <w:lvlText w:val=""/>
      <w:lvlJc w:val="left"/>
      <w:pPr>
        <w:tabs>
          <w:tab w:val="num" w:pos="1440"/>
        </w:tabs>
        <w:ind w:left="1440" w:hanging="360"/>
      </w:pPr>
      <w:rPr>
        <w:rFonts w:ascii="Wingdings" w:hAnsi="Wingdings" w:hint="default"/>
      </w:rPr>
    </w:lvl>
    <w:lvl w:ilvl="2" w:tplc="4E360130" w:tentative="1">
      <w:start w:val="1"/>
      <w:numFmt w:val="bullet"/>
      <w:lvlText w:val=""/>
      <w:lvlJc w:val="left"/>
      <w:pPr>
        <w:tabs>
          <w:tab w:val="num" w:pos="2160"/>
        </w:tabs>
        <w:ind w:left="2160" w:hanging="360"/>
      </w:pPr>
      <w:rPr>
        <w:rFonts w:ascii="Wingdings" w:hAnsi="Wingdings" w:hint="default"/>
      </w:rPr>
    </w:lvl>
    <w:lvl w:ilvl="3" w:tplc="E54C263A" w:tentative="1">
      <w:start w:val="1"/>
      <w:numFmt w:val="bullet"/>
      <w:lvlText w:val=""/>
      <w:lvlJc w:val="left"/>
      <w:pPr>
        <w:tabs>
          <w:tab w:val="num" w:pos="2880"/>
        </w:tabs>
        <w:ind w:left="2880" w:hanging="360"/>
      </w:pPr>
      <w:rPr>
        <w:rFonts w:ascii="Wingdings" w:hAnsi="Wingdings" w:hint="default"/>
      </w:rPr>
    </w:lvl>
    <w:lvl w:ilvl="4" w:tplc="EB50DF52" w:tentative="1">
      <w:start w:val="1"/>
      <w:numFmt w:val="bullet"/>
      <w:lvlText w:val=""/>
      <w:lvlJc w:val="left"/>
      <w:pPr>
        <w:tabs>
          <w:tab w:val="num" w:pos="3600"/>
        </w:tabs>
        <w:ind w:left="3600" w:hanging="360"/>
      </w:pPr>
      <w:rPr>
        <w:rFonts w:ascii="Wingdings" w:hAnsi="Wingdings" w:hint="default"/>
      </w:rPr>
    </w:lvl>
    <w:lvl w:ilvl="5" w:tplc="F46449DE" w:tentative="1">
      <w:start w:val="1"/>
      <w:numFmt w:val="bullet"/>
      <w:lvlText w:val=""/>
      <w:lvlJc w:val="left"/>
      <w:pPr>
        <w:tabs>
          <w:tab w:val="num" w:pos="4320"/>
        </w:tabs>
        <w:ind w:left="4320" w:hanging="360"/>
      </w:pPr>
      <w:rPr>
        <w:rFonts w:ascii="Wingdings" w:hAnsi="Wingdings" w:hint="default"/>
      </w:rPr>
    </w:lvl>
    <w:lvl w:ilvl="6" w:tplc="6020390E" w:tentative="1">
      <w:start w:val="1"/>
      <w:numFmt w:val="bullet"/>
      <w:lvlText w:val=""/>
      <w:lvlJc w:val="left"/>
      <w:pPr>
        <w:tabs>
          <w:tab w:val="num" w:pos="5040"/>
        </w:tabs>
        <w:ind w:left="5040" w:hanging="360"/>
      </w:pPr>
      <w:rPr>
        <w:rFonts w:ascii="Wingdings" w:hAnsi="Wingdings" w:hint="default"/>
      </w:rPr>
    </w:lvl>
    <w:lvl w:ilvl="7" w:tplc="18E80678" w:tentative="1">
      <w:start w:val="1"/>
      <w:numFmt w:val="bullet"/>
      <w:lvlText w:val=""/>
      <w:lvlJc w:val="left"/>
      <w:pPr>
        <w:tabs>
          <w:tab w:val="num" w:pos="5760"/>
        </w:tabs>
        <w:ind w:left="5760" w:hanging="360"/>
      </w:pPr>
      <w:rPr>
        <w:rFonts w:ascii="Wingdings" w:hAnsi="Wingdings" w:hint="default"/>
      </w:rPr>
    </w:lvl>
    <w:lvl w:ilvl="8" w:tplc="9026ABC2" w:tentative="1">
      <w:start w:val="1"/>
      <w:numFmt w:val="bullet"/>
      <w:lvlText w:val=""/>
      <w:lvlJc w:val="left"/>
      <w:pPr>
        <w:tabs>
          <w:tab w:val="num" w:pos="6480"/>
        </w:tabs>
        <w:ind w:left="6480" w:hanging="360"/>
      </w:pPr>
      <w:rPr>
        <w:rFonts w:ascii="Wingdings" w:hAnsi="Wingdings" w:hint="default"/>
      </w:rPr>
    </w:lvl>
  </w:abstractNum>
  <w:abstractNum w:abstractNumId="15">
    <w:nsid w:val="459064F7"/>
    <w:multiLevelType w:val="hybridMultilevel"/>
    <w:tmpl w:val="C3F056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46B37E35"/>
    <w:multiLevelType w:val="hybridMultilevel"/>
    <w:tmpl w:val="F0C8D212"/>
    <w:lvl w:ilvl="0" w:tplc="480A3BD2">
      <w:numFmt w:val="bullet"/>
      <w:lvlText w:val="-"/>
      <w:lvlJc w:val="left"/>
      <w:pPr>
        <w:tabs>
          <w:tab w:val="num" w:pos="720"/>
        </w:tabs>
        <w:ind w:left="720" w:hanging="360"/>
      </w:pPr>
      <w:rPr>
        <w:rFonts w:ascii="Calibri" w:eastAsiaTheme="minorHAnsi" w:hAnsi="Calibri" w:cstheme="majorBidi" w:hint="default"/>
      </w:rPr>
    </w:lvl>
    <w:lvl w:ilvl="1" w:tplc="B344EC22" w:tentative="1">
      <w:start w:val="1"/>
      <w:numFmt w:val="bullet"/>
      <w:lvlText w:val=""/>
      <w:lvlJc w:val="left"/>
      <w:pPr>
        <w:tabs>
          <w:tab w:val="num" w:pos="1440"/>
        </w:tabs>
        <w:ind w:left="1440" w:hanging="360"/>
      </w:pPr>
      <w:rPr>
        <w:rFonts w:ascii="Wingdings" w:hAnsi="Wingdings" w:hint="default"/>
      </w:rPr>
    </w:lvl>
    <w:lvl w:ilvl="2" w:tplc="911AF7B0" w:tentative="1">
      <w:start w:val="1"/>
      <w:numFmt w:val="bullet"/>
      <w:lvlText w:val=""/>
      <w:lvlJc w:val="left"/>
      <w:pPr>
        <w:tabs>
          <w:tab w:val="num" w:pos="2160"/>
        </w:tabs>
        <w:ind w:left="2160" w:hanging="360"/>
      </w:pPr>
      <w:rPr>
        <w:rFonts w:ascii="Wingdings" w:hAnsi="Wingdings" w:hint="default"/>
      </w:rPr>
    </w:lvl>
    <w:lvl w:ilvl="3" w:tplc="C5E6A48C" w:tentative="1">
      <w:start w:val="1"/>
      <w:numFmt w:val="bullet"/>
      <w:lvlText w:val=""/>
      <w:lvlJc w:val="left"/>
      <w:pPr>
        <w:tabs>
          <w:tab w:val="num" w:pos="2880"/>
        </w:tabs>
        <w:ind w:left="2880" w:hanging="360"/>
      </w:pPr>
      <w:rPr>
        <w:rFonts w:ascii="Wingdings" w:hAnsi="Wingdings" w:hint="default"/>
      </w:rPr>
    </w:lvl>
    <w:lvl w:ilvl="4" w:tplc="38ACA75A" w:tentative="1">
      <w:start w:val="1"/>
      <w:numFmt w:val="bullet"/>
      <w:lvlText w:val=""/>
      <w:lvlJc w:val="left"/>
      <w:pPr>
        <w:tabs>
          <w:tab w:val="num" w:pos="3600"/>
        </w:tabs>
        <w:ind w:left="3600" w:hanging="360"/>
      </w:pPr>
      <w:rPr>
        <w:rFonts w:ascii="Wingdings" w:hAnsi="Wingdings" w:hint="default"/>
      </w:rPr>
    </w:lvl>
    <w:lvl w:ilvl="5" w:tplc="B6BAB39E" w:tentative="1">
      <w:start w:val="1"/>
      <w:numFmt w:val="bullet"/>
      <w:lvlText w:val=""/>
      <w:lvlJc w:val="left"/>
      <w:pPr>
        <w:tabs>
          <w:tab w:val="num" w:pos="4320"/>
        </w:tabs>
        <w:ind w:left="4320" w:hanging="360"/>
      </w:pPr>
      <w:rPr>
        <w:rFonts w:ascii="Wingdings" w:hAnsi="Wingdings" w:hint="default"/>
      </w:rPr>
    </w:lvl>
    <w:lvl w:ilvl="6" w:tplc="659EF1EE" w:tentative="1">
      <w:start w:val="1"/>
      <w:numFmt w:val="bullet"/>
      <w:lvlText w:val=""/>
      <w:lvlJc w:val="left"/>
      <w:pPr>
        <w:tabs>
          <w:tab w:val="num" w:pos="5040"/>
        </w:tabs>
        <w:ind w:left="5040" w:hanging="360"/>
      </w:pPr>
      <w:rPr>
        <w:rFonts w:ascii="Wingdings" w:hAnsi="Wingdings" w:hint="default"/>
      </w:rPr>
    </w:lvl>
    <w:lvl w:ilvl="7" w:tplc="C7C438F6" w:tentative="1">
      <w:start w:val="1"/>
      <w:numFmt w:val="bullet"/>
      <w:lvlText w:val=""/>
      <w:lvlJc w:val="left"/>
      <w:pPr>
        <w:tabs>
          <w:tab w:val="num" w:pos="5760"/>
        </w:tabs>
        <w:ind w:left="5760" w:hanging="360"/>
      </w:pPr>
      <w:rPr>
        <w:rFonts w:ascii="Wingdings" w:hAnsi="Wingdings" w:hint="default"/>
      </w:rPr>
    </w:lvl>
    <w:lvl w:ilvl="8" w:tplc="9D72BF6E" w:tentative="1">
      <w:start w:val="1"/>
      <w:numFmt w:val="bullet"/>
      <w:lvlText w:val=""/>
      <w:lvlJc w:val="left"/>
      <w:pPr>
        <w:tabs>
          <w:tab w:val="num" w:pos="6480"/>
        </w:tabs>
        <w:ind w:left="6480" w:hanging="360"/>
      </w:pPr>
      <w:rPr>
        <w:rFonts w:ascii="Wingdings" w:hAnsi="Wingdings" w:hint="default"/>
      </w:rPr>
    </w:lvl>
  </w:abstractNum>
  <w:abstractNum w:abstractNumId="17">
    <w:nsid w:val="4D417900"/>
    <w:multiLevelType w:val="hybridMultilevel"/>
    <w:tmpl w:val="82B84EA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nsid w:val="4E402ABD"/>
    <w:multiLevelType w:val="hybridMultilevel"/>
    <w:tmpl w:val="B53C42C6"/>
    <w:lvl w:ilvl="0" w:tplc="04070001">
      <w:start w:val="1"/>
      <w:numFmt w:val="bullet"/>
      <w:lvlText w:val=""/>
      <w:lvlJc w:val="left"/>
      <w:pPr>
        <w:tabs>
          <w:tab w:val="num" w:pos="720"/>
        </w:tabs>
        <w:ind w:left="720" w:hanging="360"/>
      </w:pPr>
      <w:rPr>
        <w:rFonts w:ascii="Symbol" w:hAnsi="Symbol" w:hint="default"/>
      </w:rPr>
    </w:lvl>
    <w:lvl w:ilvl="1" w:tplc="044E62EA">
      <w:start w:val="1"/>
      <w:numFmt w:val="bullet"/>
      <w:lvlText w:val=""/>
      <w:lvlJc w:val="left"/>
      <w:pPr>
        <w:tabs>
          <w:tab w:val="num" w:pos="1440"/>
        </w:tabs>
        <w:ind w:left="1440" w:hanging="360"/>
      </w:pPr>
      <w:rPr>
        <w:rFonts w:ascii="Wingdings" w:hAnsi="Wingdings" w:hint="default"/>
        <w:lang w:val="de-DE"/>
      </w:rPr>
    </w:lvl>
    <w:lvl w:ilvl="2" w:tplc="B8C8492C" w:tentative="1">
      <w:start w:val="1"/>
      <w:numFmt w:val="bullet"/>
      <w:lvlText w:val=""/>
      <w:lvlJc w:val="left"/>
      <w:pPr>
        <w:tabs>
          <w:tab w:val="num" w:pos="2160"/>
        </w:tabs>
        <w:ind w:left="2160" w:hanging="360"/>
      </w:pPr>
      <w:rPr>
        <w:rFonts w:ascii="Wingdings" w:hAnsi="Wingdings" w:hint="default"/>
      </w:rPr>
    </w:lvl>
    <w:lvl w:ilvl="3" w:tplc="77207F26" w:tentative="1">
      <w:start w:val="1"/>
      <w:numFmt w:val="bullet"/>
      <w:lvlText w:val=""/>
      <w:lvlJc w:val="left"/>
      <w:pPr>
        <w:tabs>
          <w:tab w:val="num" w:pos="2880"/>
        </w:tabs>
        <w:ind w:left="2880" w:hanging="360"/>
      </w:pPr>
      <w:rPr>
        <w:rFonts w:ascii="Wingdings" w:hAnsi="Wingdings" w:hint="default"/>
      </w:rPr>
    </w:lvl>
    <w:lvl w:ilvl="4" w:tplc="7C3A4B80" w:tentative="1">
      <w:start w:val="1"/>
      <w:numFmt w:val="bullet"/>
      <w:lvlText w:val=""/>
      <w:lvlJc w:val="left"/>
      <w:pPr>
        <w:tabs>
          <w:tab w:val="num" w:pos="3600"/>
        </w:tabs>
        <w:ind w:left="3600" w:hanging="360"/>
      </w:pPr>
      <w:rPr>
        <w:rFonts w:ascii="Wingdings" w:hAnsi="Wingdings" w:hint="default"/>
      </w:rPr>
    </w:lvl>
    <w:lvl w:ilvl="5" w:tplc="FECA448C" w:tentative="1">
      <w:start w:val="1"/>
      <w:numFmt w:val="bullet"/>
      <w:lvlText w:val=""/>
      <w:lvlJc w:val="left"/>
      <w:pPr>
        <w:tabs>
          <w:tab w:val="num" w:pos="4320"/>
        </w:tabs>
        <w:ind w:left="4320" w:hanging="360"/>
      </w:pPr>
      <w:rPr>
        <w:rFonts w:ascii="Wingdings" w:hAnsi="Wingdings" w:hint="default"/>
      </w:rPr>
    </w:lvl>
    <w:lvl w:ilvl="6" w:tplc="1C5C7D90" w:tentative="1">
      <w:start w:val="1"/>
      <w:numFmt w:val="bullet"/>
      <w:lvlText w:val=""/>
      <w:lvlJc w:val="left"/>
      <w:pPr>
        <w:tabs>
          <w:tab w:val="num" w:pos="5040"/>
        </w:tabs>
        <w:ind w:left="5040" w:hanging="360"/>
      </w:pPr>
      <w:rPr>
        <w:rFonts w:ascii="Wingdings" w:hAnsi="Wingdings" w:hint="default"/>
      </w:rPr>
    </w:lvl>
    <w:lvl w:ilvl="7" w:tplc="921E0664" w:tentative="1">
      <w:start w:val="1"/>
      <w:numFmt w:val="bullet"/>
      <w:lvlText w:val=""/>
      <w:lvlJc w:val="left"/>
      <w:pPr>
        <w:tabs>
          <w:tab w:val="num" w:pos="5760"/>
        </w:tabs>
        <w:ind w:left="5760" w:hanging="360"/>
      </w:pPr>
      <w:rPr>
        <w:rFonts w:ascii="Wingdings" w:hAnsi="Wingdings" w:hint="default"/>
      </w:rPr>
    </w:lvl>
    <w:lvl w:ilvl="8" w:tplc="9952666C" w:tentative="1">
      <w:start w:val="1"/>
      <w:numFmt w:val="bullet"/>
      <w:lvlText w:val=""/>
      <w:lvlJc w:val="left"/>
      <w:pPr>
        <w:tabs>
          <w:tab w:val="num" w:pos="6480"/>
        </w:tabs>
        <w:ind w:left="6480" w:hanging="360"/>
      </w:pPr>
      <w:rPr>
        <w:rFonts w:ascii="Wingdings" w:hAnsi="Wingdings" w:hint="default"/>
      </w:rPr>
    </w:lvl>
  </w:abstractNum>
  <w:abstractNum w:abstractNumId="19">
    <w:nsid w:val="64846786"/>
    <w:multiLevelType w:val="hybridMultilevel"/>
    <w:tmpl w:val="AFF867BC"/>
    <w:lvl w:ilvl="0" w:tplc="0854BB6E">
      <w:start w:val="11"/>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nsid w:val="65D27549"/>
    <w:multiLevelType w:val="hybridMultilevel"/>
    <w:tmpl w:val="6568B0BA"/>
    <w:lvl w:ilvl="0" w:tplc="71867CBC">
      <w:start w:val="1"/>
      <w:numFmt w:val="bullet"/>
      <w:lvlText w:val=""/>
      <w:lvlJc w:val="left"/>
      <w:pPr>
        <w:tabs>
          <w:tab w:val="num" w:pos="1068"/>
        </w:tabs>
        <w:ind w:left="1068" w:hanging="360"/>
      </w:pPr>
      <w:rPr>
        <w:rFonts w:ascii="Wingdings" w:hAnsi="Wingdings" w:hint="default"/>
      </w:rPr>
    </w:lvl>
    <w:lvl w:ilvl="1" w:tplc="BE44E82E">
      <w:start w:val="1"/>
      <w:numFmt w:val="bullet"/>
      <w:lvlText w:val=""/>
      <w:lvlJc w:val="left"/>
      <w:pPr>
        <w:tabs>
          <w:tab w:val="num" w:pos="1788"/>
        </w:tabs>
        <w:ind w:left="1788" w:hanging="360"/>
      </w:pPr>
      <w:rPr>
        <w:rFonts w:ascii="Wingdings" w:hAnsi="Wingdings" w:hint="default"/>
      </w:rPr>
    </w:lvl>
    <w:lvl w:ilvl="2" w:tplc="CB527FA0" w:tentative="1">
      <w:start w:val="1"/>
      <w:numFmt w:val="bullet"/>
      <w:lvlText w:val=""/>
      <w:lvlJc w:val="left"/>
      <w:pPr>
        <w:tabs>
          <w:tab w:val="num" w:pos="2508"/>
        </w:tabs>
        <w:ind w:left="2508" w:hanging="360"/>
      </w:pPr>
      <w:rPr>
        <w:rFonts w:ascii="Wingdings" w:hAnsi="Wingdings" w:hint="default"/>
      </w:rPr>
    </w:lvl>
    <w:lvl w:ilvl="3" w:tplc="848A1DC4" w:tentative="1">
      <w:start w:val="1"/>
      <w:numFmt w:val="bullet"/>
      <w:lvlText w:val=""/>
      <w:lvlJc w:val="left"/>
      <w:pPr>
        <w:tabs>
          <w:tab w:val="num" w:pos="3228"/>
        </w:tabs>
        <w:ind w:left="3228" w:hanging="360"/>
      </w:pPr>
      <w:rPr>
        <w:rFonts w:ascii="Wingdings" w:hAnsi="Wingdings" w:hint="default"/>
      </w:rPr>
    </w:lvl>
    <w:lvl w:ilvl="4" w:tplc="2CFADCA8" w:tentative="1">
      <w:start w:val="1"/>
      <w:numFmt w:val="bullet"/>
      <w:lvlText w:val=""/>
      <w:lvlJc w:val="left"/>
      <w:pPr>
        <w:tabs>
          <w:tab w:val="num" w:pos="3948"/>
        </w:tabs>
        <w:ind w:left="3948" w:hanging="360"/>
      </w:pPr>
      <w:rPr>
        <w:rFonts w:ascii="Wingdings" w:hAnsi="Wingdings" w:hint="default"/>
      </w:rPr>
    </w:lvl>
    <w:lvl w:ilvl="5" w:tplc="BAE697B0" w:tentative="1">
      <w:start w:val="1"/>
      <w:numFmt w:val="bullet"/>
      <w:lvlText w:val=""/>
      <w:lvlJc w:val="left"/>
      <w:pPr>
        <w:tabs>
          <w:tab w:val="num" w:pos="4668"/>
        </w:tabs>
        <w:ind w:left="4668" w:hanging="360"/>
      </w:pPr>
      <w:rPr>
        <w:rFonts w:ascii="Wingdings" w:hAnsi="Wingdings" w:hint="default"/>
      </w:rPr>
    </w:lvl>
    <w:lvl w:ilvl="6" w:tplc="DACC7E0A" w:tentative="1">
      <w:start w:val="1"/>
      <w:numFmt w:val="bullet"/>
      <w:lvlText w:val=""/>
      <w:lvlJc w:val="left"/>
      <w:pPr>
        <w:tabs>
          <w:tab w:val="num" w:pos="5388"/>
        </w:tabs>
        <w:ind w:left="5388" w:hanging="360"/>
      </w:pPr>
      <w:rPr>
        <w:rFonts w:ascii="Wingdings" w:hAnsi="Wingdings" w:hint="default"/>
      </w:rPr>
    </w:lvl>
    <w:lvl w:ilvl="7" w:tplc="ECC85440" w:tentative="1">
      <w:start w:val="1"/>
      <w:numFmt w:val="bullet"/>
      <w:lvlText w:val=""/>
      <w:lvlJc w:val="left"/>
      <w:pPr>
        <w:tabs>
          <w:tab w:val="num" w:pos="6108"/>
        </w:tabs>
        <w:ind w:left="6108" w:hanging="360"/>
      </w:pPr>
      <w:rPr>
        <w:rFonts w:ascii="Wingdings" w:hAnsi="Wingdings" w:hint="default"/>
      </w:rPr>
    </w:lvl>
    <w:lvl w:ilvl="8" w:tplc="6B3E9C46" w:tentative="1">
      <w:start w:val="1"/>
      <w:numFmt w:val="bullet"/>
      <w:lvlText w:val=""/>
      <w:lvlJc w:val="left"/>
      <w:pPr>
        <w:tabs>
          <w:tab w:val="num" w:pos="6828"/>
        </w:tabs>
        <w:ind w:left="6828" w:hanging="360"/>
      </w:pPr>
      <w:rPr>
        <w:rFonts w:ascii="Wingdings" w:hAnsi="Wingdings" w:hint="default"/>
      </w:rPr>
    </w:lvl>
  </w:abstractNum>
  <w:abstractNum w:abstractNumId="21">
    <w:nsid w:val="675D292D"/>
    <w:multiLevelType w:val="hybridMultilevel"/>
    <w:tmpl w:val="CF9E62B2"/>
    <w:lvl w:ilvl="0" w:tplc="04070001">
      <w:start w:val="1"/>
      <w:numFmt w:val="bullet"/>
      <w:lvlText w:val=""/>
      <w:lvlJc w:val="left"/>
      <w:pPr>
        <w:tabs>
          <w:tab w:val="num" w:pos="720"/>
        </w:tabs>
        <w:ind w:left="720" w:hanging="360"/>
      </w:pPr>
      <w:rPr>
        <w:rFonts w:ascii="Symbol" w:hAnsi="Symbol" w:hint="default"/>
      </w:rPr>
    </w:lvl>
    <w:lvl w:ilvl="1" w:tplc="A11E7006">
      <w:start w:val="1"/>
      <w:numFmt w:val="bullet"/>
      <w:lvlText w:val=""/>
      <w:lvlJc w:val="left"/>
      <w:pPr>
        <w:tabs>
          <w:tab w:val="num" w:pos="1440"/>
        </w:tabs>
        <w:ind w:left="1440" w:hanging="360"/>
      </w:pPr>
      <w:rPr>
        <w:rFonts w:ascii="Wingdings" w:hAnsi="Wingdings" w:hint="default"/>
      </w:rPr>
    </w:lvl>
    <w:lvl w:ilvl="2" w:tplc="156E861C" w:tentative="1">
      <w:start w:val="1"/>
      <w:numFmt w:val="bullet"/>
      <w:lvlText w:val=""/>
      <w:lvlJc w:val="left"/>
      <w:pPr>
        <w:tabs>
          <w:tab w:val="num" w:pos="2160"/>
        </w:tabs>
        <w:ind w:left="2160" w:hanging="360"/>
      </w:pPr>
      <w:rPr>
        <w:rFonts w:ascii="Wingdings" w:hAnsi="Wingdings" w:hint="default"/>
      </w:rPr>
    </w:lvl>
    <w:lvl w:ilvl="3" w:tplc="87121D9A" w:tentative="1">
      <w:start w:val="1"/>
      <w:numFmt w:val="bullet"/>
      <w:lvlText w:val=""/>
      <w:lvlJc w:val="left"/>
      <w:pPr>
        <w:tabs>
          <w:tab w:val="num" w:pos="2880"/>
        </w:tabs>
        <w:ind w:left="2880" w:hanging="360"/>
      </w:pPr>
      <w:rPr>
        <w:rFonts w:ascii="Wingdings" w:hAnsi="Wingdings" w:hint="default"/>
      </w:rPr>
    </w:lvl>
    <w:lvl w:ilvl="4" w:tplc="1FA67B72" w:tentative="1">
      <w:start w:val="1"/>
      <w:numFmt w:val="bullet"/>
      <w:lvlText w:val=""/>
      <w:lvlJc w:val="left"/>
      <w:pPr>
        <w:tabs>
          <w:tab w:val="num" w:pos="3600"/>
        </w:tabs>
        <w:ind w:left="3600" w:hanging="360"/>
      </w:pPr>
      <w:rPr>
        <w:rFonts w:ascii="Wingdings" w:hAnsi="Wingdings" w:hint="default"/>
      </w:rPr>
    </w:lvl>
    <w:lvl w:ilvl="5" w:tplc="6AC0A828" w:tentative="1">
      <w:start w:val="1"/>
      <w:numFmt w:val="bullet"/>
      <w:lvlText w:val=""/>
      <w:lvlJc w:val="left"/>
      <w:pPr>
        <w:tabs>
          <w:tab w:val="num" w:pos="4320"/>
        </w:tabs>
        <w:ind w:left="4320" w:hanging="360"/>
      </w:pPr>
      <w:rPr>
        <w:rFonts w:ascii="Wingdings" w:hAnsi="Wingdings" w:hint="default"/>
      </w:rPr>
    </w:lvl>
    <w:lvl w:ilvl="6" w:tplc="771E5BFA" w:tentative="1">
      <w:start w:val="1"/>
      <w:numFmt w:val="bullet"/>
      <w:lvlText w:val=""/>
      <w:lvlJc w:val="left"/>
      <w:pPr>
        <w:tabs>
          <w:tab w:val="num" w:pos="5040"/>
        </w:tabs>
        <w:ind w:left="5040" w:hanging="360"/>
      </w:pPr>
      <w:rPr>
        <w:rFonts w:ascii="Wingdings" w:hAnsi="Wingdings" w:hint="default"/>
      </w:rPr>
    </w:lvl>
    <w:lvl w:ilvl="7" w:tplc="FFA617FE" w:tentative="1">
      <w:start w:val="1"/>
      <w:numFmt w:val="bullet"/>
      <w:lvlText w:val=""/>
      <w:lvlJc w:val="left"/>
      <w:pPr>
        <w:tabs>
          <w:tab w:val="num" w:pos="5760"/>
        </w:tabs>
        <w:ind w:left="5760" w:hanging="360"/>
      </w:pPr>
      <w:rPr>
        <w:rFonts w:ascii="Wingdings" w:hAnsi="Wingdings" w:hint="default"/>
      </w:rPr>
    </w:lvl>
    <w:lvl w:ilvl="8" w:tplc="F45AA332" w:tentative="1">
      <w:start w:val="1"/>
      <w:numFmt w:val="bullet"/>
      <w:lvlText w:val=""/>
      <w:lvlJc w:val="left"/>
      <w:pPr>
        <w:tabs>
          <w:tab w:val="num" w:pos="6480"/>
        </w:tabs>
        <w:ind w:left="6480" w:hanging="360"/>
      </w:pPr>
      <w:rPr>
        <w:rFonts w:ascii="Wingdings" w:hAnsi="Wingdings" w:hint="default"/>
      </w:rPr>
    </w:lvl>
  </w:abstractNum>
  <w:abstractNum w:abstractNumId="22">
    <w:nsid w:val="6FEF6FE0"/>
    <w:multiLevelType w:val="hybridMultilevel"/>
    <w:tmpl w:val="1716FFF0"/>
    <w:lvl w:ilvl="0" w:tplc="915CE7E6">
      <w:start w:val="8"/>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nsid w:val="74A76C09"/>
    <w:multiLevelType w:val="hybridMultilevel"/>
    <w:tmpl w:val="98C67CEA"/>
    <w:lvl w:ilvl="0" w:tplc="04070001">
      <w:start w:val="1"/>
      <w:numFmt w:val="bullet"/>
      <w:lvlText w:val=""/>
      <w:lvlJc w:val="left"/>
      <w:pPr>
        <w:tabs>
          <w:tab w:val="num" w:pos="720"/>
        </w:tabs>
        <w:ind w:left="720" w:hanging="360"/>
      </w:pPr>
      <w:rPr>
        <w:rFonts w:ascii="Symbol" w:hAnsi="Symbol" w:hint="default"/>
      </w:rPr>
    </w:lvl>
    <w:lvl w:ilvl="1" w:tplc="B344EC22">
      <w:start w:val="1"/>
      <w:numFmt w:val="bullet"/>
      <w:lvlText w:val=""/>
      <w:lvlJc w:val="left"/>
      <w:pPr>
        <w:tabs>
          <w:tab w:val="num" w:pos="1440"/>
        </w:tabs>
        <w:ind w:left="1440" w:hanging="360"/>
      </w:pPr>
      <w:rPr>
        <w:rFonts w:ascii="Wingdings" w:hAnsi="Wingdings" w:hint="default"/>
      </w:rPr>
    </w:lvl>
    <w:lvl w:ilvl="2" w:tplc="911AF7B0" w:tentative="1">
      <w:start w:val="1"/>
      <w:numFmt w:val="bullet"/>
      <w:lvlText w:val=""/>
      <w:lvlJc w:val="left"/>
      <w:pPr>
        <w:tabs>
          <w:tab w:val="num" w:pos="2160"/>
        </w:tabs>
        <w:ind w:left="2160" w:hanging="360"/>
      </w:pPr>
      <w:rPr>
        <w:rFonts w:ascii="Wingdings" w:hAnsi="Wingdings" w:hint="default"/>
      </w:rPr>
    </w:lvl>
    <w:lvl w:ilvl="3" w:tplc="C5E6A48C" w:tentative="1">
      <w:start w:val="1"/>
      <w:numFmt w:val="bullet"/>
      <w:lvlText w:val=""/>
      <w:lvlJc w:val="left"/>
      <w:pPr>
        <w:tabs>
          <w:tab w:val="num" w:pos="2880"/>
        </w:tabs>
        <w:ind w:left="2880" w:hanging="360"/>
      </w:pPr>
      <w:rPr>
        <w:rFonts w:ascii="Wingdings" w:hAnsi="Wingdings" w:hint="default"/>
      </w:rPr>
    </w:lvl>
    <w:lvl w:ilvl="4" w:tplc="38ACA75A" w:tentative="1">
      <w:start w:val="1"/>
      <w:numFmt w:val="bullet"/>
      <w:lvlText w:val=""/>
      <w:lvlJc w:val="left"/>
      <w:pPr>
        <w:tabs>
          <w:tab w:val="num" w:pos="3600"/>
        </w:tabs>
        <w:ind w:left="3600" w:hanging="360"/>
      </w:pPr>
      <w:rPr>
        <w:rFonts w:ascii="Wingdings" w:hAnsi="Wingdings" w:hint="default"/>
      </w:rPr>
    </w:lvl>
    <w:lvl w:ilvl="5" w:tplc="B6BAB39E" w:tentative="1">
      <w:start w:val="1"/>
      <w:numFmt w:val="bullet"/>
      <w:lvlText w:val=""/>
      <w:lvlJc w:val="left"/>
      <w:pPr>
        <w:tabs>
          <w:tab w:val="num" w:pos="4320"/>
        </w:tabs>
        <w:ind w:left="4320" w:hanging="360"/>
      </w:pPr>
      <w:rPr>
        <w:rFonts w:ascii="Wingdings" w:hAnsi="Wingdings" w:hint="default"/>
      </w:rPr>
    </w:lvl>
    <w:lvl w:ilvl="6" w:tplc="659EF1EE" w:tentative="1">
      <w:start w:val="1"/>
      <w:numFmt w:val="bullet"/>
      <w:lvlText w:val=""/>
      <w:lvlJc w:val="left"/>
      <w:pPr>
        <w:tabs>
          <w:tab w:val="num" w:pos="5040"/>
        </w:tabs>
        <w:ind w:left="5040" w:hanging="360"/>
      </w:pPr>
      <w:rPr>
        <w:rFonts w:ascii="Wingdings" w:hAnsi="Wingdings" w:hint="default"/>
      </w:rPr>
    </w:lvl>
    <w:lvl w:ilvl="7" w:tplc="C7C438F6" w:tentative="1">
      <w:start w:val="1"/>
      <w:numFmt w:val="bullet"/>
      <w:lvlText w:val=""/>
      <w:lvlJc w:val="left"/>
      <w:pPr>
        <w:tabs>
          <w:tab w:val="num" w:pos="5760"/>
        </w:tabs>
        <w:ind w:left="5760" w:hanging="360"/>
      </w:pPr>
      <w:rPr>
        <w:rFonts w:ascii="Wingdings" w:hAnsi="Wingdings" w:hint="default"/>
      </w:rPr>
    </w:lvl>
    <w:lvl w:ilvl="8" w:tplc="9D72BF6E" w:tentative="1">
      <w:start w:val="1"/>
      <w:numFmt w:val="bullet"/>
      <w:lvlText w:val=""/>
      <w:lvlJc w:val="left"/>
      <w:pPr>
        <w:tabs>
          <w:tab w:val="num" w:pos="6480"/>
        </w:tabs>
        <w:ind w:left="6480" w:hanging="360"/>
      </w:pPr>
      <w:rPr>
        <w:rFonts w:ascii="Wingdings" w:hAnsi="Wingdings" w:hint="default"/>
      </w:rPr>
    </w:lvl>
  </w:abstractNum>
  <w:abstractNum w:abstractNumId="24">
    <w:nsid w:val="7FED6D29"/>
    <w:multiLevelType w:val="hybridMultilevel"/>
    <w:tmpl w:val="021662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0"/>
  </w:num>
  <w:num w:numId="2">
    <w:abstractNumId w:val="5"/>
  </w:num>
  <w:num w:numId="3">
    <w:abstractNumId w:val="18"/>
  </w:num>
  <w:num w:numId="4">
    <w:abstractNumId w:val="14"/>
  </w:num>
  <w:num w:numId="5">
    <w:abstractNumId w:val="23"/>
  </w:num>
  <w:num w:numId="6">
    <w:abstractNumId w:val="17"/>
  </w:num>
  <w:num w:numId="7">
    <w:abstractNumId w:val="21"/>
  </w:num>
  <w:num w:numId="8">
    <w:abstractNumId w:val="11"/>
  </w:num>
  <w:num w:numId="9">
    <w:abstractNumId w:val="7"/>
  </w:num>
  <w:num w:numId="10">
    <w:abstractNumId w:val="12"/>
  </w:num>
  <w:num w:numId="11">
    <w:abstractNumId w:val="22"/>
  </w:num>
  <w:num w:numId="12">
    <w:abstractNumId w:val="16"/>
  </w:num>
  <w:num w:numId="13">
    <w:abstractNumId w:val="0"/>
  </w:num>
  <w:num w:numId="14">
    <w:abstractNumId w:val="3"/>
  </w:num>
  <w:num w:numId="15">
    <w:abstractNumId w:val="13"/>
  </w:num>
  <w:num w:numId="16">
    <w:abstractNumId w:val="8"/>
  </w:num>
  <w:num w:numId="17">
    <w:abstractNumId w:val="9"/>
  </w:num>
  <w:num w:numId="18">
    <w:abstractNumId w:val="2"/>
  </w:num>
  <w:num w:numId="19">
    <w:abstractNumId w:val="6"/>
  </w:num>
  <w:num w:numId="20">
    <w:abstractNumId w:val="1"/>
  </w:num>
  <w:num w:numId="21">
    <w:abstractNumId w:val="24"/>
  </w:num>
  <w:num w:numId="22">
    <w:abstractNumId w:val="10"/>
  </w:num>
  <w:num w:numId="23">
    <w:abstractNumId w:val="19"/>
  </w:num>
  <w:num w:numId="24">
    <w:abstractNumId w:val="15"/>
  </w:num>
  <w:num w:numId="25">
    <w:abstractNumId w:val="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hideSpellingErrors/>
  <w:hideGrammaticalErrors/>
  <w:activeWritingStyle w:appName="MSWord" w:lang="de-DE" w:vendorID="64" w:dllVersion="131078" w:nlCheck="1" w:checkStyle="1"/>
  <w:activeWritingStyle w:appName="MSWord" w:lang="en-US" w:vendorID="64" w:dllVersion="131078" w:nlCheck="1" w:checkStyle="1"/>
  <w:activeWritingStyle w:appName="MSWord" w:lang="fr-MA" w:vendorID="64" w:dllVersion="131078" w:nlCheck="1" w:checkStyle="1"/>
  <w:activeWritingStyle w:appName="MSWord" w:lang="fr-FR" w:vendorID="64" w:dllVersion="131078" w:nlCheck="1" w:checkStyle="1"/>
  <w:activeWritingStyle w:appName="MSWord" w:lang="en-GB" w:vendorID="64" w:dllVersion="131078" w:nlCheck="1" w:checkStyle="1"/>
  <w:attachedTemplate r:id="rId1"/>
  <w:stylePaneFormatFilter w:val="1708" w:allStyles="0" w:customStyles="0" w:latentStyles="0" w:stylesInUse="1" w:headingStyles="0" w:numberingStyles="0" w:tableStyles="0" w:directFormattingOnRuns="1" w:directFormattingOnParagraphs="1" w:directFormattingOnNumbering="1" w:directFormattingOnTables="0" w:clearFormatting="1" w:top3HeadingStyles="0" w:visibleStyles="0" w:alternateStyleNames="0"/>
  <w:defaultTabStop w:val="708"/>
  <w:autoHyphenation/>
  <w:hyphenationZone w:val="142"/>
  <w:doNotHyphenateCap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2014"/>
    <w:rsid w:val="00001A05"/>
    <w:rsid w:val="000243F5"/>
    <w:rsid w:val="00051A30"/>
    <w:rsid w:val="00061180"/>
    <w:rsid w:val="00084DBA"/>
    <w:rsid w:val="000C16E6"/>
    <w:rsid w:val="000D1C51"/>
    <w:rsid w:val="000E6EAB"/>
    <w:rsid w:val="000F4664"/>
    <w:rsid w:val="00103D20"/>
    <w:rsid w:val="001124BA"/>
    <w:rsid w:val="00141EAA"/>
    <w:rsid w:val="00141F8A"/>
    <w:rsid w:val="00143EE4"/>
    <w:rsid w:val="00185518"/>
    <w:rsid w:val="001A6CAE"/>
    <w:rsid w:val="001B037B"/>
    <w:rsid w:val="001C006B"/>
    <w:rsid w:val="001D58CB"/>
    <w:rsid w:val="001D6336"/>
    <w:rsid w:val="001E2458"/>
    <w:rsid w:val="001F0C3C"/>
    <w:rsid w:val="002077C9"/>
    <w:rsid w:val="0024747D"/>
    <w:rsid w:val="002764F3"/>
    <w:rsid w:val="002A1483"/>
    <w:rsid w:val="002B1B77"/>
    <w:rsid w:val="002D652C"/>
    <w:rsid w:val="002F4426"/>
    <w:rsid w:val="003054CD"/>
    <w:rsid w:val="00330D55"/>
    <w:rsid w:val="0034603D"/>
    <w:rsid w:val="00355752"/>
    <w:rsid w:val="00360B5B"/>
    <w:rsid w:val="003C0BD7"/>
    <w:rsid w:val="003C25C0"/>
    <w:rsid w:val="003C3010"/>
    <w:rsid w:val="003E28B7"/>
    <w:rsid w:val="003E4CDC"/>
    <w:rsid w:val="00426C64"/>
    <w:rsid w:val="00480904"/>
    <w:rsid w:val="00481E06"/>
    <w:rsid w:val="0048329F"/>
    <w:rsid w:val="00497728"/>
    <w:rsid w:val="004C63A8"/>
    <w:rsid w:val="004D2014"/>
    <w:rsid w:val="004E585C"/>
    <w:rsid w:val="004F12F6"/>
    <w:rsid w:val="004F360E"/>
    <w:rsid w:val="004F406F"/>
    <w:rsid w:val="00563A50"/>
    <w:rsid w:val="00576878"/>
    <w:rsid w:val="005B061D"/>
    <w:rsid w:val="005B227A"/>
    <w:rsid w:val="005C4CF1"/>
    <w:rsid w:val="005E31D0"/>
    <w:rsid w:val="006129A7"/>
    <w:rsid w:val="00624DAC"/>
    <w:rsid w:val="00636520"/>
    <w:rsid w:val="00656D4D"/>
    <w:rsid w:val="00670C3C"/>
    <w:rsid w:val="006710DE"/>
    <w:rsid w:val="00671F4C"/>
    <w:rsid w:val="00693CCB"/>
    <w:rsid w:val="007376FD"/>
    <w:rsid w:val="0076585F"/>
    <w:rsid w:val="007B5A79"/>
    <w:rsid w:val="0084199C"/>
    <w:rsid w:val="008630B9"/>
    <w:rsid w:val="00865BD5"/>
    <w:rsid w:val="008668E9"/>
    <w:rsid w:val="00872120"/>
    <w:rsid w:val="00872687"/>
    <w:rsid w:val="008B2230"/>
    <w:rsid w:val="008B7216"/>
    <w:rsid w:val="008D3CF5"/>
    <w:rsid w:val="008E47C0"/>
    <w:rsid w:val="00956327"/>
    <w:rsid w:val="009A455C"/>
    <w:rsid w:val="009C07B4"/>
    <w:rsid w:val="009C6CC7"/>
    <w:rsid w:val="009F5313"/>
    <w:rsid w:val="009F54FD"/>
    <w:rsid w:val="00A52050"/>
    <w:rsid w:val="00A560F7"/>
    <w:rsid w:val="00AA4A6A"/>
    <w:rsid w:val="00AB4B00"/>
    <w:rsid w:val="00B17468"/>
    <w:rsid w:val="00B76281"/>
    <w:rsid w:val="00B87E49"/>
    <w:rsid w:val="00B93E7C"/>
    <w:rsid w:val="00BA17CF"/>
    <w:rsid w:val="00BA3026"/>
    <w:rsid w:val="00BD7D4A"/>
    <w:rsid w:val="00BE752E"/>
    <w:rsid w:val="00C0658A"/>
    <w:rsid w:val="00C205E6"/>
    <w:rsid w:val="00C302EE"/>
    <w:rsid w:val="00C60CD3"/>
    <w:rsid w:val="00C61679"/>
    <w:rsid w:val="00C61888"/>
    <w:rsid w:val="00C6218E"/>
    <w:rsid w:val="00C93429"/>
    <w:rsid w:val="00CB730B"/>
    <w:rsid w:val="00CC3BB8"/>
    <w:rsid w:val="00CD6C39"/>
    <w:rsid w:val="00D078A7"/>
    <w:rsid w:val="00D14032"/>
    <w:rsid w:val="00D30017"/>
    <w:rsid w:val="00D3161F"/>
    <w:rsid w:val="00D541F0"/>
    <w:rsid w:val="00D61197"/>
    <w:rsid w:val="00D91C26"/>
    <w:rsid w:val="00DA32A5"/>
    <w:rsid w:val="00DD3EE4"/>
    <w:rsid w:val="00DE5DE1"/>
    <w:rsid w:val="00E12360"/>
    <w:rsid w:val="00E42650"/>
    <w:rsid w:val="00EC03AD"/>
    <w:rsid w:val="00ED45DB"/>
    <w:rsid w:val="00EE29D8"/>
    <w:rsid w:val="00EE6EF3"/>
    <w:rsid w:val="00F144DE"/>
    <w:rsid w:val="00F17862"/>
    <w:rsid w:val="00F6170A"/>
    <w:rsid w:val="00F843A6"/>
    <w:rsid w:val="00FC1FC8"/>
    <w:rsid w:val="00FD2233"/>
    <w:rsid w:val="00FE103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2965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97E94"/>
    <w:pPr>
      <w:spacing w:line="300" w:lineRule="exact"/>
    </w:pPr>
    <w:rPr>
      <w:rFonts w:ascii="Arial" w:hAnsi="Arial"/>
      <w:sz w:val="22"/>
      <w:szCs w:val="24"/>
    </w:rPr>
  </w:style>
  <w:style w:type="paragraph" w:styleId="berschrift1">
    <w:name w:val="heading 1"/>
    <w:basedOn w:val="Standard"/>
    <w:next w:val="Standard"/>
    <w:qFormat/>
    <w:rsid w:val="0012743D"/>
    <w:pPr>
      <w:keepNext/>
      <w:keepLines/>
      <w:spacing w:before="480" w:after="120"/>
      <w:ind w:left="851" w:hanging="851"/>
      <w:outlineLvl w:val="0"/>
    </w:pPr>
    <w:rPr>
      <w:rFonts w:cs="Arial"/>
      <w:b/>
      <w:bCs/>
      <w:szCs w:val="32"/>
    </w:rPr>
  </w:style>
  <w:style w:type="paragraph" w:styleId="berschrift2">
    <w:name w:val="heading 2"/>
    <w:basedOn w:val="Standard"/>
    <w:next w:val="Standard"/>
    <w:qFormat/>
    <w:rsid w:val="0012743D"/>
    <w:pPr>
      <w:keepNext/>
      <w:keepLines/>
      <w:spacing w:before="360" w:after="120"/>
      <w:ind w:left="851" w:hanging="851"/>
      <w:outlineLvl w:val="1"/>
    </w:pPr>
    <w:rPr>
      <w:rFonts w:cs="Arial"/>
      <w:bCs/>
      <w:iCs/>
      <w:szCs w:val="28"/>
    </w:rPr>
  </w:style>
  <w:style w:type="paragraph" w:styleId="berschrift3">
    <w:name w:val="heading 3"/>
    <w:basedOn w:val="berschrift2"/>
    <w:next w:val="Standard"/>
    <w:qFormat/>
    <w:rsid w:val="00A07134"/>
    <w:pPr>
      <w:outlineLvl w:val="2"/>
    </w:pPr>
    <w:rPr>
      <w:bCs w:val="0"/>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1Einrckung">
    <w:name w:val="1. Einrückung"/>
    <w:basedOn w:val="Standard"/>
    <w:rsid w:val="00E676E8"/>
    <w:pPr>
      <w:tabs>
        <w:tab w:val="left" w:pos="567"/>
      </w:tabs>
      <w:ind w:left="567" w:hanging="567"/>
    </w:pPr>
  </w:style>
  <w:style w:type="paragraph" w:customStyle="1" w:styleId="2Einrckung">
    <w:name w:val="2. Einrückung"/>
    <w:basedOn w:val="Standard"/>
    <w:rsid w:val="00E676E8"/>
    <w:pPr>
      <w:tabs>
        <w:tab w:val="left" w:pos="567"/>
        <w:tab w:val="left" w:pos="1134"/>
      </w:tabs>
      <w:ind w:left="1134" w:hanging="567"/>
    </w:pPr>
  </w:style>
  <w:style w:type="paragraph" w:customStyle="1" w:styleId="3Einrckung">
    <w:name w:val="3. Einrückung"/>
    <w:basedOn w:val="Standard"/>
    <w:rsid w:val="00E676E8"/>
    <w:pPr>
      <w:tabs>
        <w:tab w:val="left" w:pos="567"/>
        <w:tab w:val="left" w:pos="1134"/>
        <w:tab w:val="left" w:pos="1701"/>
      </w:tabs>
      <w:ind w:left="1701" w:hanging="567"/>
    </w:pPr>
  </w:style>
  <w:style w:type="paragraph" w:styleId="Funotentext">
    <w:name w:val="footnote text"/>
    <w:basedOn w:val="Standard"/>
    <w:semiHidden/>
    <w:rsid w:val="00A45707"/>
    <w:pPr>
      <w:tabs>
        <w:tab w:val="left" w:pos="170"/>
      </w:tabs>
      <w:ind w:left="170" w:hanging="170"/>
    </w:pPr>
    <w:rPr>
      <w:sz w:val="20"/>
      <w:szCs w:val="20"/>
    </w:rPr>
  </w:style>
  <w:style w:type="character" w:styleId="Funotenzeichen">
    <w:name w:val="footnote reference"/>
    <w:aliases w:val=" BVI fnr,BVI fnr, BVI fnr Car Car,BVI fnr Car, BVI fnr Car Car Car Car,BVI fnr Car Car, BVI fnr Car Car Car Car Char Char, BVI fnr Car Car Car Car Char Char Char Char Char, BVI fnr Car Car Car Car Char, BVI fnr Carácter"/>
    <w:basedOn w:val="Absatz-Standardschriftart"/>
    <w:link w:val="Char2"/>
    <w:rsid w:val="005D4204"/>
    <w:rPr>
      <w:vertAlign w:val="superscript"/>
    </w:rPr>
  </w:style>
  <w:style w:type="paragraph" w:styleId="Fuzeile">
    <w:name w:val="footer"/>
    <w:basedOn w:val="Standard"/>
    <w:link w:val="FuzeileZchn"/>
    <w:uiPriority w:val="99"/>
    <w:rsid w:val="008A782D"/>
    <w:pPr>
      <w:tabs>
        <w:tab w:val="right" w:pos="9071"/>
      </w:tabs>
      <w:spacing w:line="240" w:lineRule="auto"/>
      <w:jc w:val="both"/>
    </w:pPr>
    <w:rPr>
      <w:szCs w:val="22"/>
    </w:rPr>
  </w:style>
  <w:style w:type="table" w:styleId="Tabellenraster">
    <w:name w:val="Table Grid"/>
    <w:basedOn w:val="NormaleTabelle"/>
    <w:rsid w:val="007D4EA4"/>
    <w:pPr>
      <w:spacing w:line="300" w:lineRule="exact"/>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033BAF"/>
    <w:pPr>
      <w:tabs>
        <w:tab w:val="center" w:pos="4536"/>
        <w:tab w:val="right" w:pos="9072"/>
      </w:tabs>
      <w:spacing w:line="240" w:lineRule="auto"/>
    </w:pPr>
  </w:style>
  <w:style w:type="paragraph" w:styleId="Verzeichnis1">
    <w:name w:val="toc 1"/>
    <w:basedOn w:val="Standard"/>
    <w:next w:val="Standard"/>
    <w:autoRedefine/>
    <w:uiPriority w:val="39"/>
    <w:rsid w:val="00493E4B"/>
    <w:pPr>
      <w:tabs>
        <w:tab w:val="right" w:pos="8789"/>
      </w:tabs>
      <w:spacing w:before="120" w:after="60" w:line="240" w:lineRule="auto"/>
      <w:ind w:left="851" w:hanging="851"/>
      <w:outlineLvl w:val="0"/>
    </w:pPr>
    <w:rPr>
      <w:b/>
      <w:noProof/>
    </w:rPr>
  </w:style>
  <w:style w:type="paragraph" w:styleId="Verzeichnis2">
    <w:name w:val="toc 2"/>
    <w:basedOn w:val="Standard"/>
    <w:next w:val="Standard"/>
    <w:autoRedefine/>
    <w:uiPriority w:val="39"/>
    <w:rsid w:val="0012743D"/>
    <w:pPr>
      <w:tabs>
        <w:tab w:val="right" w:pos="8789"/>
      </w:tabs>
      <w:spacing w:line="240" w:lineRule="auto"/>
      <w:ind w:left="851" w:right="1134" w:hanging="851"/>
      <w:outlineLvl w:val="0"/>
    </w:pPr>
    <w:rPr>
      <w:noProof/>
    </w:rPr>
  </w:style>
  <w:style w:type="character" w:styleId="Hyperlink">
    <w:name w:val="Hyperlink"/>
    <w:basedOn w:val="Absatz-Standardschriftart"/>
    <w:uiPriority w:val="99"/>
    <w:rsid w:val="00351E8C"/>
    <w:rPr>
      <w:color w:val="0000FF"/>
      <w:u w:val="single"/>
    </w:rPr>
  </w:style>
  <w:style w:type="paragraph" w:styleId="Verzeichnis3">
    <w:name w:val="toc 3"/>
    <w:basedOn w:val="Standard"/>
    <w:next w:val="Standard"/>
    <w:autoRedefine/>
    <w:rsid w:val="007A3BED"/>
    <w:pPr>
      <w:tabs>
        <w:tab w:val="right" w:pos="8789"/>
      </w:tabs>
    </w:pPr>
  </w:style>
  <w:style w:type="paragraph" w:customStyle="1" w:styleId="TitelKopfzeile">
    <w:name w:val="Titel_Kopfzeile"/>
    <w:basedOn w:val="Kopfzeile"/>
    <w:rsid w:val="00E35510"/>
    <w:pPr>
      <w:tabs>
        <w:tab w:val="clear" w:pos="4536"/>
        <w:tab w:val="clear" w:pos="9072"/>
      </w:tabs>
      <w:spacing w:before="120" w:after="360"/>
    </w:pPr>
    <w:rPr>
      <w:b/>
    </w:rPr>
  </w:style>
  <w:style w:type="paragraph" w:customStyle="1" w:styleId="Inhalt">
    <w:name w:val="Inhalt"/>
    <w:basedOn w:val="Standard"/>
    <w:rsid w:val="0016789E"/>
    <w:pPr>
      <w:spacing w:before="480" w:after="240"/>
    </w:pPr>
    <w:rPr>
      <w:b/>
      <w:sz w:val="28"/>
      <w:szCs w:val="28"/>
    </w:rPr>
  </w:style>
  <w:style w:type="paragraph" w:styleId="Sprechblasentext">
    <w:name w:val="Balloon Text"/>
    <w:basedOn w:val="Standard"/>
    <w:semiHidden/>
    <w:rsid w:val="00B84E01"/>
    <w:rPr>
      <w:rFonts w:ascii="Tahoma" w:hAnsi="Tahoma" w:cs="Tahoma"/>
      <w:sz w:val="16"/>
      <w:szCs w:val="16"/>
    </w:rPr>
  </w:style>
  <w:style w:type="character" w:styleId="Kommentarzeichen">
    <w:name w:val="annotation reference"/>
    <w:basedOn w:val="Absatz-Standardschriftart"/>
    <w:rsid w:val="00270D3A"/>
    <w:rPr>
      <w:sz w:val="16"/>
      <w:szCs w:val="16"/>
    </w:rPr>
  </w:style>
  <w:style w:type="paragraph" w:styleId="Kommentartext">
    <w:name w:val="annotation text"/>
    <w:basedOn w:val="Standard"/>
    <w:link w:val="KommentartextZchn"/>
    <w:rsid w:val="00270D3A"/>
    <w:pPr>
      <w:spacing w:line="240" w:lineRule="auto"/>
    </w:pPr>
    <w:rPr>
      <w:sz w:val="20"/>
      <w:szCs w:val="20"/>
    </w:rPr>
  </w:style>
  <w:style w:type="character" w:customStyle="1" w:styleId="KommentartextZchn">
    <w:name w:val="Kommentartext Zchn"/>
    <w:basedOn w:val="Absatz-Standardschriftart"/>
    <w:link w:val="Kommentartext"/>
    <w:rsid w:val="00270D3A"/>
    <w:rPr>
      <w:rFonts w:ascii="Arial" w:hAnsi="Arial"/>
    </w:rPr>
  </w:style>
  <w:style w:type="paragraph" w:styleId="Kommentarthema">
    <w:name w:val="annotation subject"/>
    <w:basedOn w:val="Kommentartext"/>
    <w:next w:val="Kommentartext"/>
    <w:link w:val="KommentarthemaZchn"/>
    <w:rsid w:val="00270D3A"/>
    <w:rPr>
      <w:b/>
      <w:bCs/>
    </w:rPr>
  </w:style>
  <w:style w:type="character" w:customStyle="1" w:styleId="KommentarthemaZchn">
    <w:name w:val="Kommentarthema Zchn"/>
    <w:basedOn w:val="KommentartextZchn"/>
    <w:link w:val="Kommentarthema"/>
    <w:rsid w:val="00270D3A"/>
    <w:rPr>
      <w:rFonts w:ascii="Arial" w:hAnsi="Arial"/>
      <w:b/>
      <w:bCs/>
    </w:rPr>
  </w:style>
  <w:style w:type="table" w:customStyle="1" w:styleId="Tabellenraster1">
    <w:name w:val="Tabellenraster1"/>
    <w:basedOn w:val="NormaleTabelle"/>
    <w:next w:val="Tabellenraster"/>
    <w:uiPriority w:val="59"/>
    <w:rsid w:val="004E1CD9"/>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2">
    <w:name w:val="Char2"/>
    <w:basedOn w:val="Standard"/>
    <w:link w:val="Funotenzeichen"/>
    <w:rsid w:val="004E1CD9"/>
    <w:pPr>
      <w:spacing w:after="160" w:line="240" w:lineRule="exact"/>
      <w:jc w:val="both"/>
    </w:pPr>
    <w:rPr>
      <w:rFonts w:ascii="Times New Roman" w:hAnsi="Times New Roman"/>
      <w:sz w:val="20"/>
      <w:szCs w:val="20"/>
      <w:vertAlign w:val="superscript"/>
    </w:rPr>
  </w:style>
  <w:style w:type="character" w:customStyle="1" w:styleId="hps">
    <w:name w:val="hps"/>
    <w:basedOn w:val="Absatz-Standardschriftart"/>
    <w:rsid w:val="004E1CD9"/>
  </w:style>
  <w:style w:type="character" w:customStyle="1" w:styleId="FuzeileZchn">
    <w:name w:val="Fußzeile Zchn"/>
    <w:basedOn w:val="Absatz-Standardschriftart"/>
    <w:link w:val="Fuzeile"/>
    <w:uiPriority w:val="99"/>
    <w:rsid w:val="008919E6"/>
    <w:rPr>
      <w:rFonts w:ascii="Arial" w:hAnsi="Arial"/>
      <w:sz w:val="22"/>
      <w:szCs w:val="22"/>
    </w:rPr>
  </w:style>
  <w:style w:type="paragraph" w:styleId="Listenabsatz">
    <w:name w:val="List Paragraph"/>
    <w:basedOn w:val="Standard"/>
    <w:uiPriority w:val="34"/>
    <w:qFormat/>
    <w:rsid w:val="00AD336D"/>
    <w:pPr>
      <w:ind w:left="720"/>
      <w:contextualSpacing/>
    </w:pPr>
  </w:style>
  <w:style w:type="paragraph" w:customStyle="1" w:styleId="Ergebnisbox">
    <w:name w:val="Ergebnisbox"/>
    <w:basedOn w:val="Standard"/>
    <w:qFormat/>
    <w:rsid w:val="00215BE4"/>
    <w:pPr>
      <w:spacing w:before="120" w:after="120" w:line="240" w:lineRule="auto"/>
      <w:ind w:left="284"/>
    </w:pPr>
    <w:rPr>
      <w:szCs w:val="20"/>
    </w:rPr>
  </w:style>
  <w:style w:type="paragraph" w:customStyle="1" w:styleId="Default">
    <w:name w:val="Default"/>
    <w:rsid w:val="003D4172"/>
    <w:pPr>
      <w:autoSpaceDE w:val="0"/>
      <w:autoSpaceDN w:val="0"/>
      <w:adjustRightInd w:val="0"/>
    </w:pPr>
    <w:rPr>
      <w:rFonts w:ascii="Garamond" w:hAnsi="Garamond" w:cs="Garamond"/>
      <w:color w:val="000000"/>
      <w:sz w:val="24"/>
      <w:szCs w:val="24"/>
    </w:rPr>
  </w:style>
  <w:style w:type="character" w:styleId="Seitenzahl">
    <w:name w:val="page number"/>
    <w:basedOn w:val="Absatz-Standardschriftart"/>
    <w:unhideWhenUsed/>
    <w:rsid w:val="00876E56"/>
  </w:style>
  <w:style w:type="paragraph" w:styleId="StandardWeb">
    <w:name w:val="Normal (Web)"/>
    <w:basedOn w:val="Standard"/>
    <w:uiPriority w:val="99"/>
    <w:unhideWhenUsed/>
    <w:rsid w:val="00125B4B"/>
    <w:pPr>
      <w:spacing w:before="100" w:beforeAutospacing="1" w:after="100" w:afterAutospacing="1" w:line="240" w:lineRule="auto"/>
    </w:pPr>
    <w:rPr>
      <w:rFonts w:ascii="Times New Roman" w:hAnsi="Times New Roman"/>
      <w:sz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97E94"/>
    <w:pPr>
      <w:spacing w:line="300" w:lineRule="exact"/>
    </w:pPr>
    <w:rPr>
      <w:rFonts w:ascii="Arial" w:hAnsi="Arial"/>
      <w:sz w:val="22"/>
      <w:szCs w:val="24"/>
    </w:rPr>
  </w:style>
  <w:style w:type="paragraph" w:styleId="berschrift1">
    <w:name w:val="heading 1"/>
    <w:basedOn w:val="Standard"/>
    <w:next w:val="Standard"/>
    <w:qFormat/>
    <w:rsid w:val="0012743D"/>
    <w:pPr>
      <w:keepNext/>
      <w:keepLines/>
      <w:spacing w:before="480" w:after="120"/>
      <w:ind w:left="851" w:hanging="851"/>
      <w:outlineLvl w:val="0"/>
    </w:pPr>
    <w:rPr>
      <w:rFonts w:cs="Arial"/>
      <w:b/>
      <w:bCs/>
      <w:szCs w:val="32"/>
    </w:rPr>
  </w:style>
  <w:style w:type="paragraph" w:styleId="berschrift2">
    <w:name w:val="heading 2"/>
    <w:basedOn w:val="Standard"/>
    <w:next w:val="Standard"/>
    <w:qFormat/>
    <w:rsid w:val="0012743D"/>
    <w:pPr>
      <w:keepNext/>
      <w:keepLines/>
      <w:spacing w:before="360" w:after="120"/>
      <w:ind w:left="851" w:hanging="851"/>
      <w:outlineLvl w:val="1"/>
    </w:pPr>
    <w:rPr>
      <w:rFonts w:cs="Arial"/>
      <w:bCs/>
      <w:iCs/>
      <w:szCs w:val="28"/>
    </w:rPr>
  </w:style>
  <w:style w:type="paragraph" w:styleId="berschrift3">
    <w:name w:val="heading 3"/>
    <w:basedOn w:val="berschrift2"/>
    <w:next w:val="Standard"/>
    <w:qFormat/>
    <w:rsid w:val="00A07134"/>
    <w:pPr>
      <w:outlineLvl w:val="2"/>
    </w:pPr>
    <w:rPr>
      <w:bCs w:val="0"/>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1Einrckung">
    <w:name w:val="1. Einrückung"/>
    <w:basedOn w:val="Standard"/>
    <w:rsid w:val="00E676E8"/>
    <w:pPr>
      <w:tabs>
        <w:tab w:val="left" w:pos="567"/>
      </w:tabs>
      <w:ind w:left="567" w:hanging="567"/>
    </w:pPr>
  </w:style>
  <w:style w:type="paragraph" w:customStyle="1" w:styleId="2Einrckung">
    <w:name w:val="2. Einrückung"/>
    <w:basedOn w:val="Standard"/>
    <w:rsid w:val="00E676E8"/>
    <w:pPr>
      <w:tabs>
        <w:tab w:val="left" w:pos="567"/>
        <w:tab w:val="left" w:pos="1134"/>
      </w:tabs>
      <w:ind w:left="1134" w:hanging="567"/>
    </w:pPr>
  </w:style>
  <w:style w:type="paragraph" w:customStyle="1" w:styleId="3Einrckung">
    <w:name w:val="3. Einrückung"/>
    <w:basedOn w:val="Standard"/>
    <w:rsid w:val="00E676E8"/>
    <w:pPr>
      <w:tabs>
        <w:tab w:val="left" w:pos="567"/>
        <w:tab w:val="left" w:pos="1134"/>
        <w:tab w:val="left" w:pos="1701"/>
      </w:tabs>
      <w:ind w:left="1701" w:hanging="567"/>
    </w:pPr>
  </w:style>
  <w:style w:type="paragraph" w:styleId="Funotentext">
    <w:name w:val="footnote text"/>
    <w:basedOn w:val="Standard"/>
    <w:semiHidden/>
    <w:rsid w:val="00A45707"/>
    <w:pPr>
      <w:tabs>
        <w:tab w:val="left" w:pos="170"/>
      </w:tabs>
      <w:ind w:left="170" w:hanging="170"/>
    </w:pPr>
    <w:rPr>
      <w:sz w:val="20"/>
      <w:szCs w:val="20"/>
    </w:rPr>
  </w:style>
  <w:style w:type="character" w:styleId="Funotenzeichen">
    <w:name w:val="footnote reference"/>
    <w:aliases w:val=" BVI fnr,BVI fnr, BVI fnr Car Car,BVI fnr Car, BVI fnr Car Car Car Car,BVI fnr Car Car, BVI fnr Car Car Car Car Char Char, BVI fnr Car Car Car Car Char Char Char Char Char, BVI fnr Car Car Car Car Char, BVI fnr Carácter"/>
    <w:basedOn w:val="Absatz-Standardschriftart"/>
    <w:link w:val="Char2"/>
    <w:rsid w:val="005D4204"/>
    <w:rPr>
      <w:vertAlign w:val="superscript"/>
    </w:rPr>
  </w:style>
  <w:style w:type="paragraph" w:styleId="Fuzeile">
    <w:name w:val="footer"/>
    <w:basedOn w:val="Standard"/>
    <w:link w:val="FuzeileZchn"/>
    <w:uiPriority w:val="99"/>
    <w:rsid w:val="008A782D"/>
    <w:pPr>
      <w:tabs>
        <w:tab w:val="right" w:pos="9071"/>
      </w:tabs>
      <w:spacing w:line="240" w:lineRule="auto"/>
      <w:jc w:val="both"/>
    </w:pPr>
    <w:rPr>
      <w:szCs w:val="22"/>
    </w:rPr>
  </w:style>
  <w:style w:type="table" w:styleId="Tabellenraster">
    <w:name w:val="Table Grid"/>
    <w:basedOn w:val="NormaleTabelle"/>
    <w:rsid w:val="007D4EA4"/>
    <w:pPr>
      <w:spacing w:line="300" w:lineRule="exact"/>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033BAF"/>
    <w:pPr>
      <w:tabs>
        <w:tab w:val="center" w:pos="4536"/>
        <w:tab w:val="right" w:pos="9072"/>
      </w:tabs>
      <w:spacing w:line="240" w:lineRule="auto"/>
    </w:pPr>
  </w:style>
  <w:style w:type="paragraph" w:styleId="Verzeichnis1">
    <w:name w:val="toc 1"/>
    <w:basedOn w:val="Standard"/>
    <w:next w:val="Standard"/>
    <w:autoRedefine/>
    <w:uiPriority w:val="39"/>
    <w:rsid w:val="00493E4B"/>
    <w:pPr>
      <w:tabs>
        <w:tab w:val="right" w:pos="8789"/>
      </w:tabs>
      <w:spacing w:before="120" w:after="60" w:line="240" w:lineRule="auto"/>
      <w:ind w:left="851" w:hanging="851"/>
      <w:outlineLvl w:val="0"/>
    </w:pPr>
    <w:rPr>
      <w:b/>
      <w:noProof/>
    </w:rPr>
  </w:style>
  <w:style w:type="paragraph" w:styleId="Verzeichnis2">
    <w:name w:val="toc 2"/>
    <w:basedOn w:val="Standard"/>
    <w:next w:val="Standard"/>
    <w:autoRedefine/>
    <w:uiPriority w:val="39"/>
    <w:rsid w:val="0012743D"/>
    <w:pPr>
      <w:tabs>
        <w:tab w:val="right" w:pos="8789"/>
      </w:tabs>
      <w:spacing w:line="240" w:lineRule="auto"/>
      <w:ind w:left="851" w:right="1134" w:hanging="851"/>
      <w:outlineLvl w:val="0"/>
    </w:pPr>
    <w:rPr>
      <w:noProof/>
    </w:rPr>
  </w:style>
  <w:style w:type="character" w:styleId="Hyperlink">
    <w:name w:val="Hyperlink"/>
    <w:basedOn w:val="Absatz-Standardschriftart"/>
    <w:uiPriority w:val="99"/>
    <w:rsid w:val="00351E8C"/>
    <w:rPr>
      <w:color w:val="0000FF"/>
      <w:u w:val="single"/>
    </w:rPr>
  </w:style>
  <w:style w:type="paragraph" w:styleId="Verzeichnis3">
    <w:name w:val="toc 3"/>
    <w:basedOn w:val="Standard"/>
    <w:next w:val="Standard"/>
    <w:autoRedefine/>
    <w:rsid w:val="007A3BED"/>
    <w:pPr>
      <w:tabs>
        <w:tab w:val="right" w:pos="8789"/>
      </w:tabs>
    </w:pPr>
  </w:style>
  <w:style w:type="paragraph" w:customStyle="1" w:styleId="TitelKopfzeile">
    <w:name w:val="Titel_Kopfzeile"/>
    <w:basedOn w:val="Kopfzeile"/>
    <w:rsid w:val="00E35510"/>
    <w:pPr>
      <w:tabs>
        <w:tab w:val="clear" w:pos="4536"/>
        <w:tab w:val="clear" w:pos="9072"/>
      </w:tabs>
      <w:spacing w:before="120" w:after="360"/>
    </w:pPr>
    <w:rPr>
      <w:b/>
    </w:rPr>
  </w:style>
  <w:style w:type="paragraph" w:customStyle="1" w:styleId="Inhalt">
    <w:name w:val="Inhalt"/>
    <w:basedOn w:val="Standard"/>
    <w:rsid w:val="0016789E"/>
    <w:pPr>
      <w:spacing w:before="480" w:after="240"/>
    </w:pPr>
    <w:rPr>
      <w:b/>
      <w:sz w:val="28"/>
      <w:szCs w:val="28"/>
    </w:rPr>
  </w:style>
  <w:style w:type="paragraph" w:styleId="Sprechblasentext">
    <w:name w:val="Balloon Text"/>
    <w:basedOn w:val="Standard"/>
    <w:semiHidden/>
    <w:rsid w:val="00B84E01"/>
    <w:rPr>
      <w:rFonts w:ascii="Tahoma" w:hAnsi="Tahoma" w:cs="Tahoma"/>
      <w:sz w:val="16"/>
      <w:szCs w:val="16"/>
    </w:rPr>
  </w:style>
  <w:style w:type="character" w:styleId="Kommentarzeichen">
    <w:name w:val="annotation reference"/>
    <w:basedOn w:val="Absatz-Standardschriftart"/>
    <w:rsid w:val="00270D3A"/>
    <w:rPr>
      <w:sz w:val="16"/>
      <w:szCs w:val="16"/>
    </w:rPr>
  </w:style>
  <w:style w:type="paragraph" w:styleId="Kommentartext">
    <w:name w:val="annotation text"/>
    <w:basedOn w:val="Standard"/>
    <w:link w:val="KommentartextZchn"/>
    <w:rsid w:val="00270D3A"/>
    <w:pPr>
      <w:spacing w:line="240" w:lineRule="auto"/>
    </w:pPr>
    <w:rPr>
      <w:sz w:val="20"/>
      <w:szCs w:val="20"/>
    </w:rPr>
  </w:style>
  <w:style w:type="character" w:customStyle="1" w:styleId="KommentartextZchn">
    <w:name w:val="Kommentartext Zchn"/>
    <w:basedOn w:val="Absatz-Standardschriftart"/>
    <w:link w:val="Kommentartext"/>
    <w:rsid w:val="00270D3A"/>
    <w:rPr>
      <w:rFonts w:ascii="Arial" w:hAnsi="Arial"/>
    </w:rPr>
  </w:style>
  <w:style w:type="paragraph" w:styleId="Kommentarthema">
    <w:name w:val="annotation subject"/>
    <w:basedOn w:val="Kommentartext"/>
    <w:next w:val="Kommentartext"/>
    <w:link w:val="KommentarthemaZchn"/>
    <w:rsid w:val="00270D3A"/>
    <w:rPr>
      <w:b/>
      <w:bCs/>
    </w:rPr>
  </w:style>
  <w:style w:type="character" w:customStyle="1" w:styleId="KommentarthemaZchn">
    <w:name w:val="Kommentarthema Zchn"/>
    <w:basedOn w:val="KommentartextZchn"/>
    <w:link w:val="Kommentarthema"/>
    <w:rsid w:val="00270D3A"/>
    <w:rPr>
      <w:rFonts w:ascii="Arial" w:hAnsi="Arial"/>
      <w:b/>
      <w:bCs/>
    </w:rPr>
  </w:style>
  <w:style w:type="table" w:customStyle="1" w:styleId="Tabellenraster1">
    <w:name w:val="Tabellenraster1"/>
    <w:basedOn w:val="NormaleTabelle"/>
    <w:next w:val="Tabellenraster"/>
    <w:uiPriority w:val="59"/>
    <w:rsid w:val="004E1CD9"/>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2">
    <w:name w:val="Char2"/>
    <w:basedOn w:val="Standard"/>
    <w:link w:val="Funotenzeichen"/>
    <w:rsid w:val="004E1CD9"/>
    <w:pPr>
      <w:spacing w:after="160" w:line="240" w:lineRule="exact"/>
      <w:jc w:val="both"/>
    </w:pPr>
    <w:rPr>
      <w:rFonts w:ascii="Times New Roman" w:hAnsi="Times New Roman"/>
      <w:sz w:val="20"/>
      <w:szCs w:val="20"/>
      <w:vertAlign w:val="superscript"/>
    </w:rPr>
  </w:style>
  <w:style w:type="character" w:customStyle="1" w:styleId="hps">
    <w:name w:val="hps"/>
    <w:basedOn w:val="Absatz-Standardschriftart"/>
    <w:rsid w:val="004E1CD9"/>
  </w:style>
  <w:style w:type="character" w:customStyle="1" w:styleId="FuzeileZchn">
    <w:name w:val="Fußzeile Zchn"/>
    <w:basedOn w:val="Absatz-Standardschriftart"/>
    <w:link w:val="Fuzeile"/>
    <w:uiPriority w:val="99"/>
    <w:rsid w:val="008919E6"/>
    <w:rPr>
      <w:rFonts w:ascii="Arial" w:hAnsi="Arial"/>
      <w:sz w:val="22"/>
      <w:szCs w:val="22"/>
    </w:rPr>
  </w:style>
  <w:style w:type="paragraph" w:styleId="Listenabsatz">
    <w:name w:val="List Paragraph"/>
    <w:basedOn w:val="Standard"/>
    <w:uiPriority w:val="34"/>
    <w:qFormat/>
    <w:rsid w:val="00AD336D"/>
    <w:pPr>
      <w:ind w:left="720"/>
      <w:contextualSpacing/>
    </w:pPr>
  </w:style>
  <w:style w:type="paragraph" w:customStyle="1" w:styleId="Ergebnisbox">
    <w:name w:val="Ergebnisbox"/>
    <w:basedOn w:val="Standard"/>
    <w:qFormat/>
    <w:rsid w:val="00215BE4"/>
    <w:pPr>
      <w:spacing w:before="120" w:after="120" w:line="240" w:lineRule="auto"/>
      <w:ind w:left="284"/>
    </w:pPr>
    <w:rPr>
      <w:szCs w:val="20"/>
    </w:rPr>
  </w:style>
  <w:style w:type="paragraph" w:customStyle="1" w:styleId="Default">
    <w:name w:val="Default"/>
    <w:rsid w:val="003D4172"/>
    <w:pPr>
      <w:autoSpaceDE w:val="0"/>
      <w:autoSpaceDN w:val="0"/>
      <w:adjustRightInd w:val="0"/>
    </w:pPr>
    <w:rPr>
      <w:rFonts w:ascii="Garamond" w:hAnsi="Garamond" w:cs="Garamond"/>
      <w:color w:val="000000"/>
      <w:sz w:val="24"/>
      <w:szCs w:val="24"/>
    </w:rPr>
  </w:style>
  <w:style w:type="character" w:styleId="Seitenzahl">
    <w:name w:val="page number"/>
    <w:basedOn w:val="Absatz-Standardschriftart"/>
    <w:unhideWhenUsed/>
    <w:rsid w:val="00876E56"/>
  </w:style>
  <w:style w:type="paragraph" w:styleId="StandardWeb">
    <w:name w:val="Normal (Web)"/>
    <w:basedOn w:val="Standard"/>
    <w:uiPriority w:val="99"/>
    <w:unhideWhenUsed/>
    <w:rsid w:val="00125B4B"/>
    <w:pPr>
      <w:spacing w:before="100" w:beforeAutospacing="1" w:after="100" w:afterAutospacing="1" w:line="240" w:lineRule="auto"/>
    </w:pPr>
    <w:rPr>
      <w:rFonts w:ascii="Times New Roman" w:hAnsi="Times New Roman"/>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438647">
      <w:bodyDiv w:val="1"/>
      <w:marLeft w:val="0"/>
      <w:marRight w:val="0"/>
      <w:marTop w:val="0"/>
      <w:marBottom w:val="0"/>
      <w:divBdr>
        <w:top w:val="none" w:sz="0" w:space="0" w:color="auto"/>
        <w:left w:val="none" w:sz="0" w:space="0" w:color="auto"/>
        <w:bottom w:val="none" w:sz="0" w:space="0" w:color="auto"/>
        <w:right w:val="none" w:sz="0" w:space="0" w:color="auto"/>
      </w:divBdr>
    </w:div>
    <w:div w:id="209921418">
      <w:bodyDiv w:val="1"/>
      <w:marLeft w:val="0"/>
      <w:marRight w:val="0"/>
      <w:marTop w:val="0"/>
      <w:marBottom w:val="0"/>
      <w:divBdr>
        <w:top w:val="none" w:sz="0" w:space="0" w:color="auto"/>
        <w:left w:val="none" w:sz="0" w:space="0" w:color="auto"/>
        <w:bottom w:val="none" w:sz="0" w:space="0" w:color="auto"/>
        <w:right w:val="none" w:sz="0" w:space="0" w:color="auto"/>
      </w:divBdr>
    </w:div>
    <w:div w:id="234751349">
      <w:bodyDiv w:val="1"/>
      <w:marLeft w:val="0"/>
      <w:marRight w:val="0"/>
      <w:marTop w:val="0"/>
      <w:marBottom w:val="0"/>
      <w:divBdr>
        <w:top w:val="none" w:sz="0" w:space="0" w:color="auto"/>
        <w:left w:val="none" w:sz="0" w:space="0" w:color="auto"/>
        <w:bottom w:val="none" w:sz="0" w:space="0" w:color="auto"/>
        <w:right w:val="none" w:sz="0" w:space="0" w:color="auto"/>
      </w:divBdr>
    </w:div>
    <w:div w:id="241574912">
      <w:bodyDiv w:val="1"/>
      <w:marLeft w:val="0"/>
      <w:marRight w:val="0"/>
      <w:marTop w:val="0"/>
      <w:marBottom w:val="0"/>
      <w:divBdr>
        <w:top w:val="none" w:sz="0" w:space="0" w:color="auto"/>
        <w:left w:val="none" w:sz="0" w:space="0" w:color="auto"/>
        <w:bottom w:val="none" w:sz="0" w:space="0" w:color="auto"/>
        <w:right w:val="none" w:sz="0" w:space="0" w:color="auto"/>
      </w:divBdr>
    </w:div>
    <w:div w:id="261691249">
      <w:bodyDiv w:val="1"/>
      <w:marLeft w:val="0"/>
      <w:marRight w:val="0"/>
      <w:marTop w:val="0"/>
      <w:marBottom w:val="0"/>
      <w:divBdr>
        <w:top w:val="none" w:sz="0" w:space="0" w:color="auto"/>
        <w:left w:val="none" w:sz="0" w:space="0" w:color="auto"/>
        <w:bottom w:val="none" w:sz="0" w:space="0" w:color="auto"/>
        <w:right w:val="none" w:sz="0" w:space="0" w:color="auto"/>
      </w:divBdr>
    </w:div>
    <w:div w:id="564490030">
      <w:bodyDiv w:val="1"/>
      <w:marLeft w:val="0"/>
      <w:marRight w:val="0"/>
      <w:marTop w:val="0"/>
      <w:marBottom w:val="0"/>
      <w:divBdr>
        <w:top w:val="none" w:sz="0" w:space="0" w:color="auto"/>
        <w:left w:val="none" w:sz="0" w:space="0" w:color="auto"/>
        <w:bottom w:val="none" w:sz="0" w:space="0" w:color="auto"/>
        <w:right w:val="none" w:sz="0" w:space="0" w:color="auto"/>
      </w:divBdr>
    </w:div>
    <w:div w:id="755790906">
      <w:bodyDiv w:val="1"/>
      <w:marLeft w:val="0"/>
      <w:marRight w:val="0"/>
      <w:marTop w:val="0"/>
      <w:marBottom w:val="0"/>
      <w:divBdr>
        <w:top w:val="none" w:sz="0" w:space="0" w:color="auto"/>
        <w:left w:val="none" w:sz="0" w:space="0" w:color="auto"/>
        <w:bottom w:val="none" w:sz="0" w:space="0" w:color="auto"/>
        <w:right w:val="none" w:sz="0" w:space="0" w:color="auto"/>
      </w:divBdr>
    </w:div>
    <w:div w:id="765081185">
      <w:bodyDiv w:val="1"/>
      <w:marLeft w:val="0"/>
      <w:marRight w:val="0"/>
      <w:marTop w:val="0"/>
      <w:marBottom w:val="0"/>
      <w:divBdr>
        <w:top w:val="none" w:sz="0" w:space="0" w:color="auto"/>
        <w:left w:val="none" w:sz="0" w:space="0" w:color="auto"/>
        <w:bottom w:val="none" w:sz="0" w:space="0" w:color="auto"/>
        <w:right w:val="none" w:sz="0" w:space="0" w:color="auto"/>
      </w:divBdr>
    </w:div>
    <w:div w:id="813179449">
      <w:bodyDiv w:val="1"/>
      <w:marLeft w:val="0"/>
      <w:marRight w:val="0"/>
      <w:marTop w:val="0"/>
      <w:marBottom w:val="0"/>
      <w:divBdr>
        <w:top w:val="none" w:sz="0" w:space="0" w:color="auto"/>
        <w:left w:val="none" w:sz="0" w:space="0" w:color="auto"/>
        <w:bottom w:val="none" w:sz="0" w:space="0" w:color="auto"/>
        <w:right w:val="none" w:sz="0" w:space="0" w:color="auto"/>
      </w:divBdr>
    </w:div>
    <w:div w:id="830366885">
      <w:bodyDiv w:val="1"/>
      <w:marLeft w:val="0"/>
      <w:marRight w:val="0"/>
      <w:marTop w:val="0"/>
      <w:marBottom w:val="0"/>
      <w:divBdr>
        <w:top w:val="none" w:sz="0" w:space="0" w:color="auto"/>
        <w:left w:val="none" w:sz="0" w:space="0" w:color="auto"/>
        <w:bottom w:val="none" w:sz="0" w:space="0" w:color="auto"/>
        <w:right w:val="none" w:sz="0" w:space="0" w:color="auto"/>
      </w:divBdr>
    </w:div>
    <w:div w:id="875779160">
      <w:bodyDiv w:val="1"/>
      <w:marLeft w:val="0"/>
      <w:marRight w:val="0"/>
      <w:marTop w:val="0"/>
      <w:marBottom w:val="0"/>
      <w:divBdr>
        <w:top w:val="none" w:sz="0" w:space="0" w:color="auto"/>
        <w:left w:val="none" w:sz="0" w:space="0" w:color="auto"/>
        <w:bottom w:val="none" w:sz="0" w:space="0" w:color="auto"/>
        <w:right w:val="none" w:sz="0" w:space="0" w:color="auto"/>
      </w:divBdr>
    </w:div>
    <w:div w:id="903297411">
      <w:bodyDiv w:val="1"/>
      <w:marLeft w:val="0"/>
      <w:marRight w:val="0"/>
      <w:marTop w:val="0"/>
      <w:marBottom w:val="0"/>
      <w:divBdr>
        <w:top w:val="none" w:sz="0" w:space="0" w:color="auto"/>
        <w:left w:val="none" w:sz="0" w:space="0" w:color="auto"/>
        <w:bottom w:val="none" w:sz="0" w:space="0" w:color="auto"/>
        <w:right w:val="none" w:sz="0" w:space="0" w:color="auto"/>
      </w:divBdr>
    </w:div>
    <w:div w:id="1065683701">
      <w:bodyDiv w:val="1"/>
      <w:marLeft w:val="0"/>
      <w:marRight w:val="0"/>
      <w:marTop w:val="0"/>
      <w:marBottom w:val="0"/>
      <w:divBdr>
        <w:top w:val="none" w:sz="0" w:space="0" w:color="auto"/>
        <w:left w:val="none" w:sz="0" w:space="0" w:color="auto"/>
        <w:bottom w:val="none" w:sz="0" w:space="0" w:color="auto"/>
        <w:right w:val="none" w:sz="0" w:space="0" w:color="auto"/>
      </w:divBdr>
    </w:div>
    <w:div w:id="1238907357">
      <w:bodyDiv w:val="1"/>
      <w:marLeft w:val="0"/>
      <w:marRight w:val="0"/>
      <w:marTop w:val="0"/>
      <w:marBottom w:val="0"/>
      <w:divBdr>
        <w:top w:val="none" w:sz="0" w:space="0" w:color="auto"/>
        <w:left w:val="none" w:sz="0" w:space="0" w:color="auto"/>
        <w:bottom w:val="none" w:sz="0" w:space="0" w:color="auto"/>
        <w:right w:val="none" w:sz="0" w:space="0" w:color="auto"/>
      </w:divBdr>
    </w:div>
    <w:div w:id="1359889176">
      <w:bodyDiv w:val="1"/>
      <w:marLeft w:val="0"/>
      <w:marRight w:val="0"/>
      <w:marTop w:val="0"/>
      <w:marBottom w:val="0"/>
      <w:divBdr>
        <w:top w:val="none" w:sz="0" w:space="0" w:color="auto"/>
        <w:left w:val="none" w:sz="0" w:space="0" w:color="auto"/>
        <w:bottom w:val="none" w:sz="0" w:space="0" w:color="auto"/>
        <w:right w:val="none" w:sz="0" w:space="0" w:color="auto"/>
      </w:divBdr>
    </w:div>
    <w:div w:id="1390763391">
      <w:bodyDiv w:val="1"/>
      <w:marLeft w:val="0"/>
      <w:marRight w:val="0"/>
      <w:marTop w:val="0"/>
      <w:marBottom w:val="0"/>
      <w:divBdr>
        <w:top w:val="none" w:sz="0" w:space="0" w:color="auto"/>
        <w:left w:val="none" w:sz="0" w:space="0" w:color="auto"/>
        <w:bottom w:val="none" w:sz="0" w:space="0" w:color="auto"/>
        <w:right w:val="none" w:sz="0" w:space="0" w:color="auto"/>
      </w:divBdr>
    </w:div>
    <w:div w:id="1413971907">
      <w:bodyDiv w:val="1"/>
      <w:marLeft w:val="0"/>
      <w:marRight w:val="0"/>
      <w:marTop w:val="0"/>
      <w:marBottom w:val="0"/>
      <w:divBdr>
        <w:top w:val="none" w:sz="0" w:space="0" w:color="auto"/>
        <w:left w:val="none" w:sz="0" w:space="0" w:color="auto"/>
        <w:bottom w:val="none" w:sz="0" w:space="0" w:color="auto"/>
        <w:right w:val="none" w:sz="0" w:space="0" w:color="auto"/>
      </w:divBdr>
    </w:div>
    <w:div w:id="1442341578">
      <w:bodyDiv w:val="1"/>
      <w:marLeft w:val="0"/>
      <w:marRight w:val="0"/>
      <w:marTop w:val="0"/>
      <w:marBottom w:val="0"/>
      <w:divBdr>
        <w:top w:val="none" w:sz="0" w:space="0" w:color="auto"/>
        <w:left w:val="none" w:sz="0" w:space="0" w:color="auto"/>
        <w:bottom w:val="none" w:sz="0" w:space="0" w:color="auto"/>
        <w:right w:val="none" w:sz="0" w:space="0" w:color="auto"/>
      </w:divBdr>
    </w:div>
    <w:div w:id="1509128471">
      <w:bodyDiv w:val="1"/>
      <w:marLeft w:val="0"/>
      <w:marRight w:val="0"/>
      <w:marTop w:val="0"/>
      <w:marBottom w:val="0"/>
      <w:divBdr>
        <w:top w:val="none" w:sz="0" w:space="0" w:color="auto"/>
        <w:left w:val="none" w:sz="0" w:space="0" w:color="auto"/>
        <w:bottom w:val="none" w:sz="0" w:space="0" w:color="auto"/>
        <w:right w:val="none" w:sz="0" w:space="0" w:color="auto"/>
      </w:divBdr>
    </w:div>
    <w:div w:id="1509753415">
      <w:bodyDiv w:val="1"/>
      <w:marLeft w:val="0"/>
      <w:marRight w:val="0"/>
      <w:marTop w:val="0"/>
      <w:marBottom w:val="0"/>
      <w:divBdr>
        <w:top w:val="none" w:sz="0" w:space="0" w:color="auto"/>
        <w:left w:val="none" w:sz="0" w:space="0" w:color="auto"/>
        <w:bottom w:val="none" w:sz="0" w:space="0" w:color="auto"/>
        <w:right w:val="none" w:sz="0" w:space="0" w:color="auto"/>
      </w:divBdr>
    </w:div>
    <w:div w:id="1556626161">
      <w:bodyDiv w:val="1"/>
      <w:marLeft w:val="0"/>
      <w:marRight w:val="0"/>
      <w:marTop w:val="0"/>
      <w:marBottom w:val="0"/>
      <w:divBdr>
        <w:top w:val="none" w:sz="0" w:space="0" w:color="auto"/>
        <w:left w:val="none" w:sz="0" w:space="0" w:color="auto"/>
        <w:bottom w:val="none" w:sz="0" w:space="0" w:color="auto"/>
        <w:right w:val="none" w:sz="0" w:space="0" w:color="auto"/>
      </w:divBdr>
    </w:div>
    <w:div w:id="1596593186">
      <w:bodyDiv w:val="1"/>
      <w:marLeft w:val="0"/>
      <w:marRight w:val="0"/>
      <w:marTop w:val="0"/>
      <w:marBottom w:val="0"/>
      <w:divBdr>
        <w:top w:val="none" w:sz="0" w:space="0" w:color="auto"/>
        <w:left w:val="none" w:sz="0" w:space="0" w:color="auto"/>
        <w:bottom w:val="none" w:sz="0" w:space="0" w:color="auto"/>
        <w:right w:val="none" w:sz="0" w:space="0" w:color="auto"/>
      </w:divBdr>
    </w:div>
    <w:div w:id="1613590928">
      <w:bodyDiv w:val="1"/>
      <w:marLeft w:val="0"/>
      <w:marRight w:val="0"/>
      <w:marTop w:val="0"/>
      <w:marBottom w:val="0"/>
      <w:divBdr>
        <w:top w:val="none" w:sz="0" w:space="0" w:color="auto"/>
        <w:left w:val="none" w:sz="0" w:space="0" w:color="auto"/>
        <w:bottom w:val="none" w:sz="0" w:space="0" w:color="auto"/>
        <w:right w:val="none" w:sz="0" w:space="0" w:color="auto"/>
      </w:divBdr>
    </w:div>
    <w:div w:id="1642465453">
      <w:bodyDiv w:val="1"/>
      <w:marLeft w:val="0"/>
      <w:marRight w:val="0"/>
      <w:marTop w:val="0"/>
      <w:marBottom w:val="0"/>
      <w:divBdr>
        <w:top w:val="none" w:sz="0" w:space="0" w:color="auto"/>
        <w:left w:val="none" w:sz="0" w:space="0" w:color="auto"/>
        <w:bottom w:val="none" w:sz="0" w:space="0" w:color="auto"/>
        <w:right w:val="none" w:sz="0" w:space="0" w:color="auto"/>
      </w:divBdr>
    </w:div>
    <w:div w:id="1654404021">
      <w:bodyDiv w:val="1"/>
      <w:marLeft w:val="0"/>
      <w:marRight w:val="0"/>
      <w:marTop w:val="0"/>
      <w:marBottom w:val="0"/>
      <w:divBdr>
        <w:top w:val="none" w:sz="0" w:space="0" w:color="auto"/>
        <w:left w:val="none" w:sz="0" w:space="0" w:color="auto"/>
        <w:bottom w:val="none" w:sz="0" w:space="0" w:color="auto"/>
        <w:right w:val="none" w:sz="0" w:space="0" w:color="auto"/>
      </w:divBdr>
    </w:div>
    <w:div w:id="1655572970">
      <w:bodyDiv w:val="1"/>
      <w:marLeft w:val="0"/>
      <w:marRight w:val="0"/>
      <w:marTop w:val="0"/>
      <w:marBottom w:val="0"/>
      <w:divBdr>
        <w:top w:val="none" w:sz="0" w:space="0" w:color="auto"/>
        <w:left w:val="none" w:sz="0" w:space="0" w:color="auto"/>
        <w:bottom w:val="none" w:sz="0" w:space="0" w:color="auto"/>
        <w:right w:val="none" w:sz="0" w:space="0" w:color="auto"/>
      </w:divBdr>
    </w:div>
    <w:div w:id="1675375354">
      <w:bodyDiv w:val="1"/>
      <w:marLeft w:val="0"/>
      <w:marRight w:val="0"/>
      <w:marTop w:val="0"/>
      <w:marBottom w:val="0"/>
      <w:divBdr>
        <w:top w:val="none" w:sz="0" w:space="0" w:color="auto"/>
        <w:left w:val="none" w:sz="0" w:space="0" w:color="auto"/>
        <w:bottom w:val="none" w:sz="0" w:space="0" w:color="auto"/>
        <w:right w:val="none" w:sz="0" w:space="0" w:color="auto"/>
      </w:divBdr>
    </w:div>
    <w:div w:id="1813255103">
      <w:bodyDiv w:val="1"/>
      <w:marLeft w:val="0"/>
      <w:marRight w:val="0"/>
      <w:marTop w:val="0"/>
      <w:marBottom w:val="0"/>
      <w:divBdr>
        <w:top w:val="none" w:sz="0" w:space="0" w:color="auto"/>
        <w:left w:val="none" w:sz="0" w:space="0" w:color="auto"/>
        <w:bottom w:val="none" w:sz="0" w:space="0" w:color="auto"/>
        <w:right w:val="none" w:sz="0" w:space="0" w:color="auto"/>
      </w:divBdr>
    </w:div>
    <w:div w:id="1845241332">
      <w:bodyDiv w:val="1"/>
      <w:marLeft w:val="0"/>
      <w:marRight w:val="0"/>
      <w:marTop w:val="0"/>
      <w:marBottom w:val="0"/>
      <w:divBdr>
        <w:top w:val="none" w:sz="0" w:space="0" w:color="auto"/>
        <w:left w:val="none" w:sz="0" w:space="0" w:color="auto"/>
        <w:bottom w:val="none" w:sz="0" w:space="0" w:color="auto"/>
        <w:right w:val="none" w:sz="0" w:space="0" w:color="auto"/>
      </w:divBdr>
    </w:div>
    <w:div w:id="1947617601">
      <w:bodyDiv w:val="1"/>
      <w:marLeft w:val="0"/>
      <w:marRight w:val="0"/>
      <w:marTop w:val="0"/>
      <w:marBottom w:val="0"/>
      <w:divBdr>
        <w:top w:val="none" w:sz="0" w:space="0" w:color="auto"/>
        <w:left w:val="none" w:sz="0" w:space="0" w:color="auto"/>
        <w:bottom w:val="none" w:sz="0" w:space="0" w:color="auto"/>
        <w:right w:val="none" w:sz="0" w:space="0" w:color="auto"/>
      </w:divBdr>
    </w:div>
    <w:div w:id="2100517167">
      <w:bodyDiv w:val="1"/>
      <w:marLeft w:val="0"/>
      <w:marRight w:val="0"/>
      <w:marTop w:val="0"/>
      <w:marBottom w:val="0"/>
      <w:divBdr>
        <w:top w:val="none" w:sz="0" w:space="0" w:color="auto"/>
        <w:left w:val="none" w:sz="0" w:space="0" w:color="auto"/>
        <w:bottom w:val="none" w:sz="0" w:space="0" w:color="auto"/>
        <w:right w:val="none" w:sz="0" w:space="0" w:color="auto"/>
      </w:divBdr>
    </w:div>
    <w:div w:id="2124227386">
      <w:bodyDiv w:val="1"/>
      <w:marLeft w:val="0"/>
      <w:marRight w:val="0"/>
      <w:marTop w:val="0"/>
      <w:marBottom w:val="0"/>
      <w:divBdr>
        <w:top w:val="none" w:sz="0" w:space="0" w:color="auto"/>
        <w:left w:val="none" w:sz="0" w:space="0" w:color="auto"/>
        <w:bottom w:val="none" w:sz="0" w:space="0" w:color="auto"/>
        <w:right w:val="none" w:sz="0" w:space="0" w:color="auto"/>
      </w:divBdr>
    </w:div>
    <w:div w:id="2146384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LA3067\Documents\Dateien%20Steffen%20Erdle\RE-Activate\Berichte\24-29-fortschrittsbericht-alleinstehende-tz-massnahme-de.dot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85835C-FA5C-4A2F-B1C8-E409C9431D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24-29-fortschrittsbericht-alleinstehende-tz-massnahme-de.dotm</Template>
  <TotalTime>0</TotalTime>
  <Pages>1</Pages>
  <Words>9343</Words>
  <Characters>58868</Characters>
  <Application>Microsoft Office Word</Application>
  <DocSecurity>0</DocSecurity>
  <Lines>490</Lines>
  <Paragraphs>136</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Form 24-29-de, Fortschrittsbericht zu einer alleinstehenden TZ-Maßnahme, Stand  Juli 2014</vt:lpstr>
      <vt:lpstr>Form 24-29-de, Fortschrittsbericht zu einer alleinstehenden TZ-Maßnahme, Stand  Juli 2014</vt:lpstr>
    </vt:vector>
  </TitlesOfParts>
  <Company>Deutsche Gesellschaft für Internationale Zusammenarbeit (GIZ) GmbH</Company>
  <LinksUpToDate>false</LinksUpToDate>
  <CharactersWithSpaces>68075</CharactersWithSpaces>
  <SharedDoc>false</SharedDoc>
  <HLinks>
    <vt:vector size="126" baseType="variant">
      <vt:variant>
        <vt:i4>1310774</vt:i4>
      </vt:variant>
      <vt:variant>
        <vt:i4>140</vt:i4>
      </vt:variant>
      <vt:variant>
        <vt:i4>0</vt:i4>
      </vt:variant>
      <vt:variant>
        <vt:i4>5</vt:i4>
      </vt:variant>
      <vt:variant>
        <vt:lpwstr/>
      </vt:variant>
      <vt:variant>
        <vt:lpwstr>_Toc233426522</vt:lpwstr>
      </vt:variant>
      <vt:variant>
        <vt:i4>1310774</vt:i4>
      </vt:variant>
      <vt:variant>
        <vt:i4>134</vt:i4>
      </vt:variant>
      <vt:variant>
        <vt:i4>0</vt:i4>
      </vt:variant>
      <vt:variant>
        <vt:i4>5</vt:i4>
      </vt:variant>
      <vt:variant>
        <vt:lpwstr/>
      </vt:variant>
      <vt:variant>
        <vt:lpwstr>_Toc233426521</vt:lpwstr>
      </vt:variant>
      <vt:variant>
        <vt:i4>1310774</vt:i4>
      </vt:variant>
      <vt:variant>
        <vt:i4>128</vt:i4>
      </vt:variant>
      <vt:variant>
        <vt:i4>0</vt:i4>
      </vt:variant>
      <vt:variant>
        <vt:i4>5</vt:i4>
      </vt:variant>
      <vt:variant>
        <vt:lpwstr/>
      </vt:variant>
      <vt:variant>
        <vt:lpwstr>_Toc233426520</vt:lpwstr>
      </vt:variant>
      <vt:variant>
        <vt:i4>1507382</vt:i4>
      </vt:variant>
      <vt:variant>
        <vt:i4>122</vt:i4>
      </vt:variant>
      <vt:variant>
        <vt:i4>0</vt:i4>
      </vt:variant>
      <vt:variant>
        <vt:i4>5</vt:i4>
      </vt:variant>
      <vt:variant>
        <vt:lpwstr/>
      </vt:variant>
      <vt:variant>
        <vt:lpwstr>_Toc233426519</vt:lpwstr>
      </vt:variant>
      <vt:variant>
        <vt:i4>1507382</vt:i4>
      </vt:variant>
      <vt:variant>
        <vt:i4>116</vt:i4>
      </vt:variant>
      <vt:variant>
        <vt:i4>0</vt:i4>
      </vt:variant>
      <vt:variant>
        <vt:i4>5</vt:i4>
      </vt:variant>
      <vt:variant>
        <vt:lpwstr/>
      </vt:variant>
      <vt:variant>
        <vt:lpwstr>_Toc233426518</vt:lpwstr>
      </vt:variant>
      <vt:variant>
        <vt:i4>1507382</vt:i4>
      </vt:variant>
      <vt:variant>
        <vt:i4>110</vt:i4>
      </vt:variant>
      <vt:variant>
        <vt:i4>0</vt:i4>
      </vt:variant>
      <vt:variant>
        <vt:i4>5</vt:i4>
      </vt:variant>
      <vt:variant>
        <vt:lpwstr/>
      </vt:variant>
      <vt:variant>
        <vt:lpwstr>_Toc233426517</vt:lpwstr>
      </vt:variant>
      <vt:variant>
        <vt:i4>1507382</vt:i4>
      </vt:variant>
      <vt:variant>
        <vt:i4>104</vt:i4>
      </vt:variant>
      <vt:variant>
        <vt:i4>0</vt:i4>
      </vt:variant>
      <vt:variant>
        <vt:i4>5</vt:i4>
      </vt:variant>
      <vt:variant>
        <vt:lpwstr/>
      </vt:variant>
      <vt:variant>
        <vt:lpwstr>_Toc233426516</vt:lpwstr>
      </vt:variant>
      <vt:variant>
        <vt:i4>1507382</vt:i4>
      </vt:variant>
      <vt:variant>
        <vt:i4>98</vt:i4>
      </vt:variant>
      <vt:variant>
        <vt:i4>0</vt:i4>
      </vt:variant>
      <vt:variant>
        <vt:i4>5</vt:i4>
      </vt:variant>
      <vt:variant>
        <vt:lpwstr/>
      </vt:variant>
      <vt:variant>
        <vt:lpwstr>_Toc233426515</vt:lpwstr>
      </vt:variant>
      <vt:variant>
        <vt:i4>1507382</vt:i4>
      </vt:variant>
      <vt:variant>
        <vt:i4>92</vt:i4>
      </vt:variant>
      <vt:variant>
        <vt:i4>0</vt:i4>
      </vt:variant>
      <vt:variant>
        <vt:i4>5</vt:i4>
      </vt:variant>
      <vt:variant>
        <vt:lpwstr/>
      </vt:variant>
      <vt:variant>
        <vt:lpwstr>_Toc233426514</vt:lpwstr>
      </vt:variant>
      <vt:variant>
        <vt:i4>1507382</vt:i4>
      </vt:variant>
      <vt:variant>
        <vt:i4>86</vt:i4>
      </vt:variant>
      <vt:variant>
        <vt:i4>0</vt:i4>
      </vt:variant>
      <vt:variant>
        <vt:i4>5</vt:i4>
      </vt:variant>
      <vt:variant>
        <vt:lpwstr/>
      </vt:variant>
      <vt:variant>
        <vt:lpwstr>_Toc233426513</vt:lpwstr>
      </vt:variant>
      <vt:variant>
        <vt:i4>1507382</vt:i4>
      </vt:variant>
      <vt:variant>
        <vt:i4>80</vt:i4>
      </vt:variant>
      <vt:variant>
        <vt:i4>0</vt:i4>
      </vt:variant>
      <vt:variant>
        <vt:i4>5</vt:i4>
      </vt:variant>
      <vt:variant>
        <vt:lpwstr/>
      </vt:variant>
      <vt:variant>
        <vt:lpwstr>_Toc233426512</vt:lpwstr>
      </vt:variant>
      <vt:variant>
        <vt:i4>1507382</vt:i4>
      </vt:variant>
      <vt:variant>
        <vt:i4>74</vt:i4>
      </vt:variant>
      <vt:variant>
        <vt:i4>0</vt:i4>
      </vt:variant>
      <vt:variant>
        <vt:i4>5</vt:i4>
      </vt:variant>
      <vt:variant>
        <vt:lpwstr/>
      </vt:variant>
      <vt:variant>
        <vt:lpwstr>_Toc233426511</vt:lpwstr>
      </vt:variant>
      <vt:variant>
        <vt:i4>1507382</vt:i4>
      </vt:variant>
      <vt:variant>
        <vt:i4>68</vt:i4>
      </vt:variant>
      <vt:variant>
        <vt:i4>0</vt:i4>
      </vt:variant>
      <vt:variant>
        <vt:i4>5</vt:i4>
      </vt:variant>
      <vt:variant>
        <vt:lpwstr/>
      </vt:variant>
      <vt:variant>
        <vt:lpwstr>_Toc233426510</vt:lpwstr>
      </vt:variant>
      <vt:variant>
        <vt:i4>1441846</vt:i4>
      </vt:variant>
      <vt:variant>
        <vt:i4>62</vt:i4>
      </vt:variant>
      <vt:variant>
        <vt:i4>0</vt:i4>
      </vt:variant>
      <vt:variant>
        <vt:i4>5</vt:i4>
      </vt:variant>
      <vt:variant>
        <vt:lpwstr/>
      </vt:variant>
      <vt:variant>
        <vt:lpwstr>_Toc233426509</vt:lpwstr>
      </vt:variant>
      <vt:variant>
        <vt:i4>1441846</vt:i4>
      </vt:variant>
      <vt:variant>
        <vt:i4>56</vt:i4>
      </vt:variant>
      <vt:variant>
        <vt:i4>0</vt:i4>
      </vt:variant>
      <vt:variant>
        <vt:i4>5</vt:i4>
      </vt:variant>
      <vt:variant>
        <vt:lpwstr/>
      </vt:variant>
      <vt:variant>
        <vt:lpwstr>_Toc233426508</vt:lpwstr>
      </vt:variant>
      <vt:variant>
        <vt:i4>1441846</vt:i4>
      </vt:variant>
      <vt:variant>
        <vt:i4>50</vt:i4>
      </vt:variant>
      <vt:variant>
        <vt:i4>0</vt:i4>
      </vt:variant>
      <vt:variant>
        <vt:i4>5</vt:i4>
      </vt:variant>
      <vt:variant>
        <vt:lpwstr/>
      </vt:variant>
      <vt:variant>
        <vt:lpwstr>_Toc233426507</vt:lpwstr>
      </vt:variant>
      <vt:variant>
        <vt:i4>1441846</vt:i4>
      </vt:variant>
      <vt:variant>
        <vt:i4>44</vt:i4>
      </vt:variant>
      <vt:variant>
        <vt:i4>0</vt:i4>
      </vt:variant>
      <vt:variant>
        <vt:i4>5</vt:i4>
      </vt:variant>
      <vt:variant>
        <vt:lpwstr/>
      </vt:variant>
      <vt:variant>
        <vt:lpwstr>_Toc233426506</vt:lpwstr>
      </vt:variant>
      <vt:variant>
        <vt:i4>1441846</vt:i4>
      </vt:variant>
      <vt:variant>
        <vt:i4>38</vt:i4>
      </vt:variant>
      <vt:variant>
        <vt:i4>0</vt:i4>
      </vt:variant>
      <vt:variant>
        <vt:i4>5</vt:i4>
      </vt:variant>
      <vt:variant>
        <vt:lpwstr/>
      </vt:variant>
      <vt:variant>
        <vt:lpwstr>_Toc233426505</vt:lpwstr>
      </vt:variant>
      <vt:variant>
        <vt:i4>1441846</vt:i4>
      </vt:variant>
      <vt:variant>
        <vt:i4>32</vt:i4>
      </vt:variant>
      <vt:variant>
        <vt:i4>0</vt:i4>
      </vt:variant>
      <vt:variant>
        <vt:i4>5</vt:i4>
      </vt:variant>
      <vt:variant>
        <vt:lpwstr/>
      </vt:variant>
      <vt:variant>
        <vt:lpwstr>_Toc233426504</vt:lpwstr>
      </vt:variant>
      <vt:variant>
        <vt:i4>1441846</vt:i4>
      </vt:variant>
      <vt:variant>
        <vt:i4>26</vt:i4>
      </vt:variant>
      <vt:variant>
        <vt:i4>0</vt:i4>
      </vt:variant>
      <vt:variant>
        <vt:i4>5</vt:i4>
      </vt:variant>
      <vt:variant>
        <vt:lpwstr/>
      </vt:variant>
      <vt:variant>
        <vt:lpwstr>_Toc233426503</vt:lpwstr>
      </vt:variant>
      <vt:variant>
        <vt:i4>1441846</vt:i4>
      </vt:variant>
      <vt:variant>
        <vt:i4>20</vt:i4>
      </vt:variant>
      <vt:variant>
        <vt:i4>0</vt:i4>
      </vt:variant>
      <vt:variant>
        <vt:i4>5</vt:i4>
      </vt:variant>
      <vt:variant>
        <vt:lpwstr/>
      </vt:variant>
      <vt:variant>
        <vt:lpwstr>_Toc233426502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24-29-de, Fortschrittsbericht zu einer alleinstehenden TZ-Maßnahme, Stand  Juli 2014</dc:title>
  <dc:creator>UserLA3067</dc:creator>
  <cp:keywords>fortschrittsbericht tz-einzelmaßnahme</cp:keywords>
  <cp:lastModifiedBy>Katharina Katterbach</cp:lastModifiedBy>
  <cp:revision>5</cp:revision>
  <cp:lastPrinted>2016-08-31T07:32:00Z</cp:lastPrinted>
  <dcterms:created xsi:type="dcterms:W3CDTF">2016-08-31T07:33:00Z</dcterms:created>
  <dcterms:modified xsi:type="dcterms:W3CDTF">2016-08-31T09:39:00Z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0x010100FA98529EE743D04A8C3D54BEB25F8048</vt:lpwstr>
  </property>
</Properties>
</file>